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51A7B9">
      <w:pPr>
        <w:pStyle w:val="125"/>
        <w:framePr w:h="1801" w:hRule="exact" w:wrap="around"/>
      </w:pPr>
      <w:bookmarkStart w:id="0" w:name="_Hlk122552383"/>
      <w:bookmarkEnd w:id="0"/>
      <w:bookmarkStart w:id="1" w:name="c1"/>
      <w:r>
        <w:rPr>
          <w:rFonts w:ascii="Times New Roman"/>
        </w:rPr>
        <w:t>ICS</w:t>
      </w:r>
      <w:r>
        <w:rPr>
          <w:rFonts w:hAnsi="黑体"/>
        </w:rPr>
        <w:t> </w:t>
      </w:r>
      <w:r>
        <w:t>27.120.20</w:t>
      </w:r>
      <w:bookmarkStart w:id="2" w:name="OLE_LINK2"/>
    </w:p>
    <w:p w14:paraId="43987FE6">
      <w:pPr>
        <w:pStyle w:val="125"/>
        <w:framePr w:h="1801" w:hRule="exact" w:wrap="around"/>
      </w:pPr>
      <w:r>
        <w:rPr>
          <w:rFonts w:ascii="Times New Roman"/>
        </w:rPr>
        <w:t>CCS</w:t>
      </w:r>
      <w:r>
        <w:rPr>
          <w:rFonts w:hint="eastAsia" w:ascii="Times New Roman"/>
        </w:rPr>
        <w:t xml:space="preserve"> </w:t>
      </w:r>
      <w:r>
        <w:t>F 65</w:t>
      </w:r>
    </w:p>
    <w:bookmarkEnd w:id="2"/>
    <w:p w14:paraId="4C6F6C4D">
      <w:pPr>
        <w:pStyle w:val="125"/>
        <w:framePr w:h="1801" w:hRule="exact" w:wrap="around"/>
        <w:jc w:val="right"/>
        <w:rPr>
          <w:rFonts w:ascii="Times New Roman"/>
          <w:b/>
          <w:bCs/>
          <w:w w:val="130"/>
          <w:sz w:val="96"/>
          <w:szCs w:val="96"/>
        </w:rPr>
      </w:pPr>
      <w:r>
        <w:rPr>
          <w:rFonts w:ascii="Times New Roman"/>
          <w:b/>
          <w:bCs/>
          <w:w w:val="130"/>
          <w:sz w:val="96"/>
          <w:szCs w:val="96"/>
        </w:rPr>
        <w:t>T/CNS</w:t>
      </w:r>
    </w:p>
    <w:p w14:paraId="699AA654">
      <w:pPr>
        <w:pStyle w:val="125"/>
        <w:framePr w:h="1801" w:hRule="exact" w:wrap="around"/>
      </w:pPr>
    </w:p>
    <w:bookmarkEnd w:id="1"/>
    <w:p w14:paraId="6CEBD4FB">
      <w:pPr>
        <w:pStyle w:val="112"/>
        <w:framePr w:wrap="around"/>
        <w:rPr>
          <w:rFonts w:hint="eastAsia"/>
          <w:sz w:val="48"/>
          <w:szCs w:val="48"/>
        </w:rPr>
      </w:pPr>
      <w:r>
        <w:rPr>
          <w:rFonts w:hint="eastAsia"/>
          <w:sz w:val="48"/>
          <w:szCs w:val="48"/>
        </w:rPr>
        <w:t>团体标准</w:t>
      </w:r>
    </w:p>
    <w:p w14:paraId="2E5693AD">
      <w:pPr>
        <w:pStyle w:val="49"/>
        <w:framePr w:h="1126" w:hRule="exact" w:wrap="around" w:y="3016"/>
        <w:rPr>
          <w:rFonts w:hint="eastAsia" w:hAnsi="黑体"/>
        </w:rPr>
      </w:pPr>
      <w:r>
        <w:rPr>
          <w:rFonts w:hint="eastAsia" w:ascii="Times New Roman"/>
          <w:b/>
          <w:bCs/>
        </w:rPr>
        <w:t>T</w:t>
      </w:r>
      <w:r>
        <w:rPr>
          <w:rFonts w:ascii="Times New Roman"/>
          <w:b/>
          <w:bCs/>
        </w:rPr>
        <w:t>/</w:t>
      </w:r>
      <w:r>
        <w:rPr>
          <w:rFonts w:hint="eastAsia" w:ascii="Times New Roman"/>
          <w:b/>
          <w:bCs/>
        </w:rPr>
        <w:t>CNS</w:t>
      </w:r>
      <w:r>
        <w:rPr>
          <w:rFonts w:ascii="Times New Roman"/>
        </w:rPr>
        <w:t xml:space="preserve"> </w:t>
      </w:r>
      <w:r>
        <w:rPr>
          <w:rFonts w:hint="eastAsia" w:ascii="Times New Roman"/>
        </w:rPr>
        <w:t>XXXX</w:t>
      </w:r>
      <w:r>
        <w:rPr>
          <w:rFonts w:hAnsi="黑体"/>
        </w:rPr>
        <w:t>—XXXX</w:t>
      </w:r>
    </w:p>
    <w:tbl>
      <w:tblPr>
        <w:tblStyle w:val="3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3086A8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4A6C1C4E">
            <w:pPr>
              <w:pStyle w:val="78"/>
              <w:framePr w:h="1126" w:hRule="exact" w:wrap="around" w:y="3016"/>
            </w:pPr>
            <w:bookmarkStart w:id="3" w:name="DT"/>
            <w:r>
              <w:pict>
                <v:rect id="DT" o:spid="_x0000_s2050" o:spt="1" style="position:absolute;left:0pt;margin-left:372.8pt;margin-top:2.7pt;height:18pt;width:90pt;z-index:-251655168;mso-width-relative:page;mso-height-relative:page;"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B5g8svWAAAACAEAAA8AAAAAAAAAAQAgAAAAIgAAAGRycy9kb3ducmV2LnhtbFBLAQIUABQAAAAI&#10;AIdO4kAmFjv77wEAAPADAAAOAAAAAAAAAAEAIAAAACUBAABkcnMvZTJvRG9jLnhtbFBLBQYAAAAA&#10;BgAGAFkBAACGBQAAAAA=&#10;">
                  <v:path/>
                  <v:fill focussize="0,0"/>
                  <v:stroke on="f"/>
                  <v:imagedata o:title=""/>
                  <o:lock v:ext="edit"/>
                </v:rect>
              </w:pict>
            </w:r>
            <w:r>
              <w:fldChar w:fldCharType="begin">
                <w:ffData>
                  <w:name w:val="DT"/>
                  <w:enabled/>
                  <w:calcOnExit w:val="0"/>
                  <w:textInput/>
                </w:ffData>
              </w:fldChar>
            </w:r>
            <w:r>
              <w:instrText xml:space="preserve"> FORMTEXT </w:instrText>
            </w:r>
            <w:r>
              <w:fldChar w:fldCharType="separate"/>
            </w:r>
            <w:r>
              <w:t>     </w:t>
            </w:r>
            <w:r>
              <w:fldChar w:fldCharType="end"/>
            </w:r>
            <w:bookmarkEnd w:id="3"/>
          </w:p>
        </w:tc>
      </w:tr>
    </w:tbl>
    <w:p w14:paraId="38FF656E">
      <w:pPr>
        <w:pStyle w:val="49"/>
        <w:framePr w:h="1126" w:hRule="exact" w:wrap="around" w:y="3016"/>
        <w:rPr>
          <w:rFonts w:hint="eastAsia" w:hAnsi="黑体"/>
        </w:rPr>
      </w:pPr>
    </w:p>
    <w:p w14:paraId="38E2F0FF">
      <w:pPr>
        <w:pStyle w:val="49"/>
        <w:framePr w:h="1126" w:hRule="exact" w:wrap="around" w:y="3016"/>
        <w:rPr>
          <w:rFonts w:hint="eastAsia" w:hAnsi="黑体"/>
        </w:rPr>
      </w:pPr>
    </w:p>
    <w:p w14:paraId="75443DC7">
      <w:pPr>
        <w:pStyle w:val="80"/>
        <w:framePr w:w="10417" w:wrap="around" w:x="787" w:y="6082"/>
      </w:pPr>
      <w:bookmarkStart w:id="4" w:name="OLE_LINK1"/>
      <w:r>
        <w:rPr>
          <w:rFonts w:hint="eastAsia"/>
        </w:rPr>
        <w:t>高温气冷堆核动力厂反射层石墨材料技术要求</w:t>
      </w:r>
    </w:p>
    <w:bookmarkEnd w:id="4"/>
    <w:p w14:paraId="5602DEA6">
      <w:pPr>
        <w:pStyle w:val="81"/>
        <w:framePr w:w="10417" w:wrap="around" w:x="787" w:y="6082"/>
        <w:rPr>
          <w:b/>
          <w:bCs/>
        </w:rPr>
      </w:pPr>
      <w:r>
        <w:rPr>
          <w:b/>
          <w:bCs/>
        </w:rPr>
        <w:t xml:space="preserve">Technical requirements for graphite materials </w:t>
      </w:r>
      <w:r>
        <w:rPr>
          <w:rFonts w:hint="eastAsia"/>
          <w:b/>
          <w:bCs/>
        </w:rPr>
        <w:t>in the</w:t>
      </w:r>
      <w:r>
        <w:rPr>
          <w:b/>
          <w:bCs/>
        </w:rPr>
        <w:t xml:space="preserve"> reflector </w:t>
      </w:r>
      <w:r>
        <w:rPr>
          <w:rFonts w:hint="eastAsia"/>
          <w:b/>
          <w:bCs/>
        </w:rPr>
        <w:t xml:space="preserve">of </w:t>
      </w:r>
      <w:r>
        <w:rPr>
          <w:b/>
          <w:bCs/>
        </w:rPr>
        <w:t>high-temperature gas-cooled reactor nuclear power plant</w:t>
      </w:r>
    </w:p>
    <w:tbl>
      <w:tblPr>
        <w:tblStyle w:val="3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58BA46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47245AC0">
            <w:pPr>
              <w:pStyle w:val="83"/>
              <w:framePr w:w="10417" w:wrap="around" w:x="787" w:y="6082"/>
            </w:pPr>
            <w:r>
              <w:rPr>
                <w:rFonts w:hint="eastAsia"/>
              </w:rPr>
              <w:t>征求意见稿</w:t>
            </w:r>
            <w:r>
              <w:pict>
                <v:rect id="RQ" o:spid="_x0000_s3080" o:spt="1" style="position:absolute;left:0pt;margin-left:173.3pt;margin-top:45.15pt;height:20pt;width:150pt;z-index:-251652096;mso-width-relative:page;mso-height-relative:page;"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BYmuktUAAAAKAQAADwAAAAAAAAABACAAAAAiAAAAZHJzL2Rvd25yZXYueG1sUEsBAhQAFAAAAAgA&#10;h07iQKHcPxTvAQAA8AMAAA4AAAAAAAAAAQAgAAAAJAEAAGRycy9lMm9Eb2MueG1sUEsFBgAAAAAG&#10;AAYAWQEAAIUFAAAAAA==&#10;">
                  <v:path/>
                  <v:fill focussize="0,0"/>
                  <v:stroke on="f"/>
                  <v:imagedata o:title=""/>
                  <o:lock v:ext="edit"/>
                  <w10:anchorlock/>
                </v:rect>
              </w:pict>
            </w:r>
            <w:r>
              <w:pict>
                <v:rect id="LB" o:spid="_x0000_s3079" o:spt="1" style="position:absolute;left:0pt;margin-left:193.3pt;margin-top:20.15pt;height:24pt;width:100pt;z-index:-251653120;mso-width-relative:page;mso-height-relative:page;"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APhi+XWAAAACQEAAA8AAAAAAAAAAQAgAAAAIgAAAGRycy9kb3ducmV2LnhtbFBLAQIUABQAAAAI&#10;AIdO4kAUtNKs7wEAAPADAAAOAAAAAAAAAAEAIAAAACUBAABkcnMvZTJvRG9jLnhtbFBLBQYAAAAA&#10;BgAGAFkBAACGBQAAAAA=&#10;">
                  <v:path/>
                  <v:fill focussize="0,0"/>
                  <v:stroke on="f"/>
                  <v:imagedata o:title=""/>
                  <o:lock v:ext="edit"/>
                </v:rect>
              </w:pict>
            </w:r>
          </w:p>
        </w:tc>
      </w:tr>
      <w:tr w14:paraId="320875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7D2C92CB">
            <w:pPr>
              <w:pStyle w:val="84"/>
              <w:framePr w:w="10417" w:wrap="around" w:x="787" w:y="6082"/>
            </w:pPr>
          </w:p>
        </w:tc>
      </w:tr>
    </w:tbl>
    <w:p w14:paraId="09991D57">
      <w:pPr>
        <w:pStyle w:val="133"/>
        <w:framePr w:wrap="around" w:hAnchor="page" w:x="1585" w:y="14137"/>
      </w:pPr>
      <w:r>
        <w:rPr>
          <w:rFonts w:ascii="黑体"/>
        </w:rPr>
        <w:t>XXXX</w:t>
      </w:r>
      <w:r>
        <w:t xml:space="preserve"> </w:t>
      </w:r>
      <w:r>
        <w:rPr>
          <w:rFonts w:ascii="黑体"/>
        </w:rPr>
        <w:t>-</w:t>
      </w:r>
      <w:r>
        <w:t xml:space="preserve"> </w:t>
      </w:r>
      <w:r>
        <w:rPr>
          <w:rFonts w:ascii="黑体"/>
        </w:rPr>
        <w:t>XX</w:t>
      </w:r>
      <w:r>
        <w:t xml:space="preserve"> </w:t>
      </w:r>
      <w:r>
        <w:rPr>
          <w:rFonts w:ascii="黑体"/>
        </w:rPr>
        <w:t>-</w:t>
      </w:r>
      <w:r>
        <w:t xml:space="preserve"> </w:t>
      </w:r>
      <w:r>
        <w:rPr>
          <w:rFonts w:ascii="黑体"/>
        </w:rPr>
        <w:t>XX</w:t>
      </w:r>
      <w:r>
        <w:rPr>
          <w:rFonts w:hint="eastAsia"/>
        </w:rPr>
        <w:t>发布</w:t>
      </w:r>
      <w:r>
        <w:pict>
          <v:line id="Line 10" o:spid="_x0000_s3078" o:spt="20" style="position:absolute;left:0pt;margin-left:-0.05pt;margin-top:728.5pt;height:0pt;width:481.9pt;mso-position-vertical-relative:page;z-index:251659264;mso-width-relative:page;mso-height-relative:page;"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CWHazzWAAAA&#10;CwEAAA8AAAAAAAAAAQAgAAAAIgAAAGRycy9kb3ducmV2LnhtbFBLAQIUABQAAAAIAIdO4kDcfFU7&#10;rQEAAG4DAAAOAAAAAAAAAAEAIAAAACUBAABkcnMvZTJvRG9jLnhtbFBLBQYAAAAABgAGAFkBAABE&#10;BQAAAAA=&#10;">
            <v:path arrowok="t"/>
            <v:fill focussize="0,0"/>
            <v:stroke/>
            <v:imagedata o:title=""/>
            <o:lock v:ext="edit"/>
            <w10:anchorlock/>
          </v:line>
        </w:pict>
      </w:r>
    </w:p>
    <w:p w14:paraId="520751FE">
      <w:pPr>
        <w:pStyle w:val="134"/>
        <w:framePr w:wrap="around" w:hAnchor="page" w:x="6613"/>
      </w:pPr>
      <w:r>
        <w:rPr>
          <w:rFonts w:ascii="黑体"/>
        </w:rPr>
        <w:t>XXXX</w:t>
      </w:r>
      <w:r>
        <w:t xml:space="preserve"> </w:t>
      </w:r>
      <w:r>
        <w:rPr>
          <w:rFonts w:ascii="黑体"/>
        </w:rPr>
        <w:t>-</w:t>
      </w:r>
      <w:r>
        <w:t xml:space="preserve"> </w:t>
      </w:r>
      <w:r>
        <w:rPr>
          <w:rFonts w:ascii="黑体"/>
        </w:rPr>
        <w:t>XX</w:t>
      </w:r>
      <w:r>
        <w:t xml:space="preserve"> </w:t>
      </w:r>
      <w:r>
        <w:rPr>
          <w:rFonts w:ascii="黑体"/>
        </w:rPr>
        <w:t>–</w:t>
      </w:r>
      <w:r>
        <w:t xml:space="preserve"> </w:t>
      </w:r>
      <w:r>
        <w:rPr>
          <w:rFonts w:ascii="黑体"/>
        </w:rPr>
        <w:t xml:space="preserve">XX </w:t>
      </w:r>
      <w:r>
        <w:rPr>
          <w:rFonts w:hint="eastAsia"/>
        </w:rPr>
        <w:t>实施</w:t>
      </w:r>
    </w:p>
    <w:p w14:paraId="7DE170BC">
      <w:pPr>
        <w:pStyle w:val="113"/>
        <w:framePr w:wrap="around"/>
      </w:pPr>
      <w:r>
        <w:rPr>
          <w:rFonts w:hint="eastAsia"/>
        </w:rPr>
        <w:t>中国核学会</w:t>
      </w:r>
      <w:r>
        <w:rPr>
          <w:rFonts w:hint="eastAsia" w:ascii="MS Mincho" w:hAnsi="MS Mincho" w:eastAsia="MS Mincho" w:cs="MS Mincho"/>
        </w:rPr>
        <w:t>   </w:t>
      </w:r>
      <w:r>
        <w:rPr>
          <w:rStyle w:val="75"/>
          <w:rFonts w:hint="eastAsia"/>
        </w:rPr>
        <w:t>发布</w:t>
      </w:r>
    </w:p>
    <w:p w14:paraId="4CAED8FA">
      <w:pPr>
        <w:pStyle w:val="26"/>
        <w:sectPr>
          <w:headerReference r:id="rId3" w:type="even"/>
          <w:footerReference r:id="rId4" w:type="even"/>
          <w:pgSz w:w="11906" w:h="16838"/>
          <w:pgMar w:top="567" w:right="1134" w:bottom="1134" w:left="1417" w:header="0" w:footer="0" w:gutter="0"/>
          <w:pgNumType w:start="1"/>
          <w:cols w:space="425" w:num="1"/>
          <w:docGrid w:type="lines" w:linePitch="312" w:charSpace="0"/>
        </w:sectPr>
      </w:pPr>
      <w:r>
        <w:pict>
          <v:line id="Line 11" o:spid="_x0000_s3077" o:spt="20" style="position:absolute;left:0pt;margin-left:-0.05pt;margin-top:184.25pt;height:0pt;width:481.9pt;z-index:251660288;mso-width-relative:page;mso-height-relative:page;"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CQeJf1wAA&#10;AAkBAAAPAAAAAAAAAAEAIAAAACIAAABkcnMvZG93bnJldi54bWxQSwECFAAUAAAACACHTuJANW0K&#10;n60BAABuAwAADgAAAAAAAAABACAAAAAmAQAAZHJzL2Uyb0RvYy54bWxQSwUGAAAAAAYABgBZAQAA&#10;RQUAAAAA&#10;">
            <v:path arrowok="t"/>
            <v:fill focussize="0,0"/>
            <v:stroke/>
            <v:imagedata o:title=""/>
            <o:lock v:ext="edit"/>
          </v:line>
        </w:pict>
      </w:r>
    </w:p>
    <w:p w14:paraId="6AC6D23F">
      <w:pPr>
        <w:pStyle w:val="52"/>
        <w:rPr>
          <w:rFonts w:hint="eastAsia" w:hAnsi="黑体"/>
        </w:rPr>
      </w:pPr>
      <w:bookmarkStart w:id="5" w:name="_Toc48658960"/>
      <w:bookmarkStart w:id="6" w:name="_Toc220749606"/>
      <w:r>
        <w:rPr>
          <w:rFonts w:hint="eastAsia" w:hAnsi="黑体"/>
        </w:rPr>
        <w:t>目</w:t>
      </w:r>
      <w:bookmarkStart w:id="7" w:name="BKML"/>
      <w:r>
        <w:rPr>
          <w:rFonts w:hAnsi="黑体" w:cs="MS Mincho"/>
        </w:rPr>
        <w:t>  </w:t>
      </w:r>
      <w:r>
        <w:rPr>
          <w:rFonts w:hint="eastAsia" w:hAnsi="黑体"/>
        </w:rPr>
        <w:t>次</w:t>
      </w:r>
      <w:bookmarkEnd w:id="5"/>
      <w:bookmarkEnd w:id="6"/>
      <w:bookmarkEnd w:id="7"/>
    </w:p>
    <w:sdt>
      <w:sdtPr>
        <w:rPr>
          <w:rFonts w:ascii="Times New Roman"/>
          <w:szCs w:val="24"/>
          <w:lang w:val="zh-CN"/>
        </w:rPr>
        <w:id w:val="-283963139"/>
        <w:docPartObj>
          <w:docPartGallery w:val="Table of Contents"/>
          <w:docPartUnique/>
        </w:docPartObj>
      </w:sdtPr>
      <w:sdtEndPr>
        <w:rPr>
          <w:rFonts w:ascii="宋体"/>
          <w:b/>
          <w:bCs/>
          <w:szCs w:val="21"/>
          <w:lang w:val="zh-CN"/>
        </w:rPr>
      </w:sdtEndPr>
      <w:sdtContent>
        <w:p w14:paraId="687CBC83">
          <w:pPr>
            <w:pStyle w:val="22"/>
            <w:spacing w:before="78" w:after="78" w:line="360" w:lineRule="auto"/>
            <w:rPr>
              <w:rFonts w:hint="eastAsia" w:asciiTheme="minorHAnsi" w:hAnsiTheme="minorHAnsi" w:eastAsiaTheme="minorEastAsia" w:cstheme="minorBidi"/>
              <w:sz w:val="22"/>
              <w:szCs w:val="24"/>
            </w:rPr>
          </w:pPr>
          <w:r>
            <w:rPr>
              <w:rFonts w:hint="eastAsia" w:asciiTheme="majorHAnsi" w:hAnsiTheme="majorHAnsi" w:eastAsiaTheme="majorEastAsia" w:cstheme="majorBidi"/>
              <w:kern w:val="0"/>
              <w:sz w:val="32"/>
              <w:szCs w:val="32"/>
            </w:rPr>
            <w:fldChar w:fldCharType="begin"/>
          </w:r>
          <w:r>
            <w:rPr>
              <w:rFonts w:hint="eastAsia" w:asciiTheme="majorHAnsi" w:hAnsiTheme="majorHAnsi" w:eastAsiaTheme="majorEastAsia" w:cstheme="majorBidi"/>
              <w:kern w:val="0"/>
              <w:sz w:val="32"/>
              <w:szCs w:val="32"/>
            </w:rPr>
            <w:instrText xml:space="preserve"> TOC \o "1-2" \h \z \u </w:instrText>
          </w:r>
          <w:r>
            <w:rPr>
              <w:rFonts w:hint="eastAsia" w:asciiTheme="majorHAnsi" w:hAnsiTheme="majorHAnsi" w:eastAsiaTheme="majorEastAsia" w:cstheme="majorBidi"/>
              <w:kern w:val="0"/>
              <w:sz w:val="32"/>
              <w:szCs w:val="32"/>
            </w:rPr>
            <w:fldChar w:fldCharType="separate"/>
          </w:r>
          <w:r>
            <w:fldChar w:fldCharType="begin"/>
          </w:r>
          <w:r>
            <w:instrText xml:space="preserve"> HYPERLINK \l "_Toc220749607" </w:instrText>
          </w:r>
          <w:r>
            <w:fldChar w:fldCharType="separate"/>
          </w:r>
          <w:r>
            <w:rPr>
              <w:rStyle w:val="40"/>
            </w:rPr>
            <w:t>前</w:t>
          </w:r>
          <w:r>
            <w:rPr>
              <w:rStyle w:val="40"/>
              <w:rFonts w:ascii="MS Mincho" w:hAnsi="MS Mincho" w:eastAsia="MS Mincho" w:cs="MS Mincho"/>
            </w:rPr>
            <w:t>  </w:t>
          </w:r>
          <w:r>
            <w:rPr>
              <w:rStyle w:val="40"/>
            </w:rPr>
            <w:t>言</w:t>
          </w:r>
          <w:r>
            <w:rPr>
              <w:rFonts w:hint="eastAsia"/>
            </w:rPr>
            <w:tab/>
          </w:r>
          <w:r>
            <w:rPr>
              <w:rFonts w:hint="eastAsia"/>
            </w:rPr>
            <w:fldChar w:fldCharType="begin"/>
          </w:r>
          <w:r>
            <w:rPr>
              <w:rFonts w:hint="eastAsia"/>
            </w:rPr>
            <w:instrText xml:space="preserve"> </w:instrText>
          </w:r>
          <w:r>
            <w:instrText xml:space="preserve">PAGEREF _Toc220749607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1458D0B9">
          <w:pPr>
            <w:pStyle w:val="31"/>
            <w:spacing w:line="360" w:lineRule="auto"/>
            <w:rPr>
              <w:rFonts w:hint="eastAsia" w:asciiTheme="minorHAnsi" w:hAnsiTheme="minorHAnsi" w:eastAsiaTheme="minorEastAsia" w:cstheme="minorBidi"/>
              <w:sz w:val="22"/>
              <w:szCs w:val="24"/>
            </w:rPr>
          </w:pPr>
          <w:r>
            <w:fldChar w:fldCharType="begin"/>
          </w:r>
          <w:r>
            <w:instrText xml:space="preserve"> HYPERLINK \l "_Toc220749608" </w:instrText>
          </w:r>
          <w:r>
            <w:fldChar w:fldCharType="separate"/>
          </w:r>
          <w:r>
            <w:rPr>
              <w:rStyle w:val="40"/>
            </w:rPr>
            <w:t>1 范围</w:t>
          </w:r>
          <w:r>
            <w:rPr>
              <w:rFonts w:hint="eastAsia"/>
            </w:rPr>
            <w:tab/>
          </w:r>
          <w:r>
            <w:rPr>
              <w:rFonts w:hint="eastAsia"/>
            </w:rPr>
            <w:fldChar w:fldCharType="begin"/>
          </w:r>
          <w:r>
            <w:rPr>
              <w:rFonts w:hint="eastAsia"/>
            </w:rPr>
            <w:instrText xml:space="preserve"> </w:instrText>
          </w:r>
          <w:r>
            <w:instrText xml:space="preserve">PAGEREF _Toc220749608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E4C0899">
          <w:pPr>
            <w:pStyle w:val="31"/>
            <w:spacing w:line="360" w:lineRule="auto"/>
            <w:rPr>
              <w:rFonts w:hint="eastAsia" w:asciiTheme="minorHAnsi" w:hAnsiTheme="minorHAnsi" w:eastAsiaTheme="minorEastAsia" w:cstheme="minorBidi"/>
              <w:sz w:val="22"/>
              <w:szCs w:val="24"/>
            </w:rPr>
          </w:pPr>
          <w:r>
            <w:fldChar w:fldCharType="begin"/>
          </w:r>
          <w:r>
            <w:instrText xml:space="preserve"> HYPERLINK \l "_Toc220749609" </w:instrText>
          </w:r>
          <w:r>
            <w:fldChar w:fldCharType="separate"/>
          </w:r>
          <w:r>
            <w:rPr>
              <w:rStyle w:val="40"/>
            </w:rPr>
            <w:t>2 规范性引用文件</w:t>
          </w:r>
          <w:r>
            <w:rPr>
              <w:rFonts w:hint="eastAsia"/>
            </w:rPr>
            <w:tab/>
          </w:r>
          <w:r>
            <w:rPr>
              <w:rFonts w:hint="eastAsia"/>
            </w:rPr>
            <w:fldChar w:fldCharType="begin"/>
          </w:r>
          <w:r>
            <w:rPr>
              <w:rFonts w:hint="eastAsia"/>
            </w:rPr>
            <w:instrText xml:space="preserve"> </w:instrText>
          </w:r>
          <w:r>
            <w:instrText xml:space="preserve">PAGEREF _Toc220749609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5F2A2AF">
          <w:pPr>
            <w:pStyle w:val="31"/>
            <w:spacing w:line="360" w:lineRule="auto"/>
            <w:rPr>
              <w:rFonts w:hint="eastAsia" w:asciiTheme="minorHAnsi" w:hAnsiTheme="minorHAnsi" w:eastAsiaTheme="minorEastAsia" w:cstheme="minorBidi"/>
              <w:sz w:val="22"/>
              <w:szCs w:val="24"/>
            </w:rPr>
          </w:pPr>
          <w:r>
            <w:fldChar w:fldCharType="begin"/>
          </w:r>
          <w:r>
            <w:instrText xml:space="preserve"> HYPERLINK \l "_Toc220749610" </w:instrText>
          </w:r>
          <w:r>
            <w:fldChar w:fldCharType="separate"/>
          </w:r>
          <w:r>
            <w:rPr>
              <w:rStyle w:val="40"/>
            </w:rPr>
            <w:t>3 术语和定义</w:t>
          </w:r>
          <w:r>
            <w:rPr>
              <w:rFonts w:hint="eastAsia"/>
            </w:rPr>
            <w:tab/>
          </w:r>
          <w:r>
            <w:rPr>
              <w:rFonts w:hint="eastAsia"/>
            </w:rPr>
            <w:fldChar w:fldCharType="begin"/>
          </w:r>
          <w:r>
            <w:rPr>
              <w:rFonts w:hint="eastAsia"/>
            </w:rPr>
            <w:instrText xml:space="preserve"> </w:instrText>
          </w:r>
          <w:r>
            <w:instrText xml:space="preserve">PAGEREF _Toc220749610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857E9E4">
          <w:pPr>
            <w:pStyle w:val="31"/>
            <w:spacing w:line="360" w:lineRule="auto"/>
            <w:rPr>
              <w:rFonts w:hint="eastAsia" w:asciiTheme="minorHAnsi" w:hAnsiTheme="minorHAnsi" w:eastAsiaTheme="minorEastAsia" w:cstheme="minorBidi"/>
              <w:sz w:val="22"/>
              <w:szCs w:val="24"/>
            </w:rPr>
          </w:pPr>
          <w:r>
            <w:fldChar w:fldCharType="begin"/>
          </w:r>
          <w:r>
            <w:instrText xml:space="preserve"> HYPERLINK \l "_Toc220749611" </w:instrText>
          </w:r>
          <w:r>
            <w:fldChar w:fldCharType="separate"/>
          </w:r>
          <w:r>
            <w:rPr>
              <w:rStyle w:val="40"/>
            </w:rPr>
            <w:t>4 材料性能要求</w:t>
          </w:r>
          <w:r>
            <w:rPr>
              <w:rFonts w:hint="eastAsia"/>
            </w:rPr>
            <w:tab/>
          </w:r>
          <w:r>
            <w:rPr>
              <w:rFonts w:hint="eastAsia"/>
            </w:rPr>
            <w:fldChar w:fldCharType="begin"/>
          </w:r>
          <w:r>
            <w:rPr>
              <w:rFonts w:hint="eastAsia"/>
            </w:rPr>
            <w:instrText xml:space="preserve"> </w:instrText>
          </w:r>
          <w:r>
            <w:instrText xml:space="preserve">PAGEREF _Toc220749611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FB4B343">
          <w:pPr>
            <w:pStyle w:val="31"/>
            <w:spacing w:line="360" w:lineRule="auto"/>
            <w:rPr>
              <w:rFonts w:hint="eastAsia" w:asciiTheme="minorHAnsi" w:hAnsiTheme="minorHAnsi" w:eastAsiaTheme="minorEastAsia" w:cstheme="minorBidi"/>
              <w:sz w:val="22"/>
              <w:szCs w:val="24"/>
            </w:rPr>
          </w:pPr>
          <w:r>
            <w:fldChar w:fldCharType="begin"/>
          </w:r>
          <w:r>
            <w:instrText xml:space="preserve"> HYPERLINK \l "_Toc220749612" </w:instrText>
          </w:r>
          <w:r>
            <w:fldChar w:fldCharType="separate"/>
          </w:r>
          <w:r>
            <w:rPr>
              <w:rStyle w:val="40"/>
            </w:rPr>
            <w:t>5 材料生产</w:t>
          </w:r>
          <w:r>
            <w:rPr>
              <w:rFonts w:hint="eastAsia"/>
            </w:rPr>
            <w:tab/>
          </w:r>
          <w:r>
            <w:rPr>
              <w:rFonts w:hint="eastAsia"/>
            </w:rPr>
            <w:fldChar w:fldCharType="begin"/>
          </w:r>
          <w:r>
            <w:rPr>
              <w:rFonts w:hint="eastAsia"/>
            </w:rPr>
            <w:instrText xml:space="preserve"> </w:instrText>
          </w:r>
          <w:r>
            <w:instrText xml:space="preserve">PAGEREF _Toc220749612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24DC63D">
          <w:pPr>
            <w:pStyle w:val="31"/>
            <w:spacing w:line="360" w:lineRule="auto"/>
            <w:rPr>
              <w:rFonts w:hint="eastAsia" w:asciiTheme="minorHAnsi" w:hAnsiTheme="minorHAnsi" w:eastAsiaTheme="minorEastAsia" w:cstheme="minorBidi"/>
              <w:sz w:val="22"/>
              <w:szCs w:val="24"/>
            </w:rPr>
          </w:pPr>
          <w:r>
            <w:fldChar w:fldCharType="begin"/>
          </w:r>
          <w:r>
            <w:instrText xml:space="preserve"> HYPERLINK \l "_Toc220749613" </w:instrText>
          </w:r>
          <w:r>
            <w:fldChar w:fldCharType="separate"/>
          </w:r>
          <w:r>
            <w:rPr>
              <w:rStyle w:val="40"/>
            </w:rPr>
            <w:t>6 验收检查</w:t>
          </w:r>
          <w:r>
            <w:rPr>
              <w:rFonts w:hint="eastAsia"/>
            </w:rPr>
            <w:tab/>
          </w:r>
          <w:r>
            <w:rPr>
              <w:rFonts w:hint="eastAsia"/>
            </w:rPr>
            <w:fldChar w:fldCharType="begin"/>
          </w:r>
          <w:r>
            <w:rPr>
              <w:rFonts w:hint="eastAsia"/>
            </w:rPr>
            <w:instrText xml:space="preserve"> </w:instrText>
          </w:r>
          <w:r>
            <w:instrText xml:space="preserve">PAGEREF _Toc220749613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2CBAF524">
          <w:pPr>
            <w:pStyle w:val="31"/>
            <w:spacing w:line="360" w:lineRule="auto"/>
            <w:rPr>
              <w:rFonts w:hint="eastAsia" w:asciiTheme="minorHAnsi" w:hAnsiTheme="minorHAnsi" w:eastAsiaTheme="minorEastAsia" w:cstheme="minorBidi"/>
              <w:sz w:val="22"/>
              <w:szCs w:val="24"/>
            </w:rPr>
          </w:pPr>
          <w:r>
            <w:fldChar w:fldCharType="begin"/>
          </w:r>
          <w:r>
            <w:instrText xml:space="preserve"> HYPERLINK \l "_Toc220749614" </w:instrText>
          </w:r>
          <w:r>
            <w:fldChar w:fldCharType="separate"/>
          </w:r>
          <w:r>
            <w:rPr>
              <w:rStyle w:val="40"/>
            </w:rPr>
            <w:t>7 包装和运输</w:t>
          </w:r>
          <w:r>
            <w:rPr>
              <w:rFonts w:hint="eastAsia"/>
            </w:rPr>
            <w:tab/>
          </w:r>
          <w:r>
            <w:rPr>
              <w:rFonts w:hint="eastAsia"/>
            </w:rPr>
            <w:fldChar w:fldCharType="begin"/>
          </w:r>
          <w:r>
            <w:rPr>
              <w:rFonts w:hint="eastAsia"/>
            </w:rPr>
            <w:instrText xml:space="preserve"> </w:instrText>
          </w:r>
          <w:r>
            <w:instrText xml:space="preserve">PAGEREF _Toc220749614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B5B3DF9">
          <w:pPr>
            <w:pStyle w:val="22"/>
            <w:spacing w:before="78" w:after="78" w:line="360" w:lineRule="auto"/>
          </w:pPr>
          <w:r>
            <w:rPr>
              <w:rFonts w:hint="eastAsia" w:asciiTheme="majorHAnsi" w:hAnsiTheme="majorHAnsi" w:eastAsiaTheme="majorEastAsia" w:cstheme="majorBidi"/>
              <w:kern w:val="0"/>
              <w:sz w:val="32"/>
              <w:szCs w:val="32"/>
            </w:rPr>
            <w:fldChar w:fldCharType="end"/>
          </w:r>
        </w:p>
      </w:sdtContent>
    </w:sdt>
    <w:p w14:paraId="16652F69">
      <w:pPr>
        <w:pStyle w:val="26"/>
      </w:pPr>
    </w:p>
    <w:p w14:paraId="42D87A3A">
      <w:pPr>
        <w:pStyle w:val="26"/>
      </w:pPr>
    </w:p>
    <w:p w14:paraId="05D5EDEC">
      <w:pPr>
        <w:pStyle w:val="114"/>
      </w:pPr>
      <w:bookmarkStart w:id="8" w:name="_Toc220749607"/>
      <w:bookmarkStart w:id="9" w:name="_Toc20302068"/>
      <w:r>
        <w:rPr>
          <w:rFonts w:hint="eastAsia"/>
        </w:rPr>
        <w:t>前</w:t>
      </w:r>
      <w:bookmarkStart w:id="10" w:name="BKQY"/>
      <w:r>
        <w:rPr>
          <w:rFonts w:hint="eastAsia" w:ascii="MS Mincho" w:hAnsi="MS Mincho" w:eastAsia="MS Mincho" w:cs="MS Mincho"/>
        </w:rPr>
        <w:t>  </w:t>
      </w:r>
      <w:r>
        <w:rPr>
          <w:rFonts w:hint="eastAsia"/>
        </w:rPr>
        <w:t>言</w:t>
      </w:r>
      <w:bookmarkEnd w:id="8"/>
      <w:bookmarkEnd w:id="9"/>
      <w:bookmarkEnd w:id="10"/>
    </w:p>
    <w:p w14:paraId="7B152AF5">
      <w:pPr>
        <w:pStyle w:val="26"/>
        <w:rPr>
          <w:rFonts w:ascii="Times New Roman"/>
        </w:rPr>
      </w:pPr>
      <w:r>
        <w:rPr>
          <w:rFonts w:ascii="Times New Roman"/>
        </w:rPr>
        <w:t>本</w:t>
      </w:r>
      <w:r>
        <w:rPr>
          <w:rFonts w:hint="eastAsia" w:ascii="Times New Roman"/>
        </w:rPr>
        <w:t>文件</w:t>
      </w:r>
      <w:r>
        <w:rPr>
          <w:rFonts w:ascii="Times New Roman"/>
        </w:rPr>
        <w:t>按照GB/T 1.1</w:t>
      </w:r>
      <w:r>
        <w:rPr>
          <w:rFonts w:hint="eastAsia" w:ascii="Times New Roman"/>
        </w:rPr>
        <w:t>—</w:t>
      </w:r>
      <w:r>
        <w:rPr>
          <w:rFonts w:hint="eastAsia"/>
        </w:rPr>
        <w:t>2020《标准化工作导则 第1部分：标准化文件的结构和起草规则》的规定起草</w:t>
      </w:r>
      <w:r>
        <w:rPr>
          <w:rFonts w:ascii="Times New Roman"/>
        </w:rPr>
        <w:t>。</w:t>
      </w:r>
    </w:p>
    <w:p w14:paraId="761DE9FE">
      <w:pPr>
        <w:pStyle w:val="26"/>
        <w:rPr>
          <w:rFonts w:ascii="Times New Roman"/>
        </w:rPr>
      </w:pPr>
      <w:r>
        <w:rPr>
          <w:rFonts w:hint="eastAsia" w:ascii="Times New Roman"/>
        </w:rPr>
        <w:t>请注意本文件的某些内容可能涉及专利。本文件的发布机构不承担识别专利的责任。</w:t>
      </w:r>
    </w:p>
    <w:p w14:paraId="74A6B22D">
      <w:pPr>
        <w:pStyle w:val="26"/>
        <w:rPr>
          <w:rFonts w:ascii="Times New Roman"/>
        </w:rPr>
      </w:pPr>
      <w:r>
        <w:rPr>
          <w:rFonts w:hint="eastAsia" w:ascii="Times New Roman"/>
        </w:rPr>
        <w:t>本标准由中国核学会提出。</w:t>
      </w:r>
    </w:p>
    <w:p w14:paraId="3A0E60C2">
      <w:pPr>
        <w:pStyle w:val="26"/>
        <w:rPr>
          <w:rFonts w:ascii="Times New Roman"/>
        </w:rPr>
      </w:pPr>
      <w:r>
        <w:rPr>
          <w:rFonts w:hint="eastAsia" w:ascii="Times New Roman"/>
        </w:rPr>
        <w:t>本标准由核工业标准化研究所归口。</w:t>
      </w:r>
    </w:p>
    <w:p w14:paraId="54A2C86B">
      <w:pPr>
        <w:pStyle w:val="26"/>
        <w:rPr>
          <w:rFonts w:ascii="Times New Roman"/>
        </w:rPr>
      </w:pPr>
      <w:r>
        <w:rPr>
          <w:rFonts w:hint="eastAsia" w:ascii="Times New Roman"/>
        </w:rPr>
        <w:t>本标准起草单位：</w:t>
      </w:r>
      <w:r>
        <w:rPr>
          <w:rFonts w:ascii="Times New Roman"/>
        </w:rPr>
        <w:t>清华大学核能与新能源技术研究院、中核能源科技有限公司。</w:t>
      </w:r>
    </w:p>
    <w:p w14:paraId="03EF97D4">
      <w:pPr>
        <w:pStyle w:val="26"/>
        <w:rPr>
          <w:rFonts w:ascii="Times New Roman"/>
        </w:rPr>
      </w:pPr>
      <w:r>
        <w:rPr>
          <w:rFonts w:hint="eastAsia" w:ascii="Times New Roman"/>
        </w:rPr>
        <w:t>本标准主要起草人：</w:t>
      </w:r>
      <w:r>
        <w:rPr>
          <w:rFonts w:ascii="Times New Roman"/>
        </w:rPr>
        <w:t>周俊杰、史力、阎慧杰、孙立斌、汪垠、易亚楠。</w:t>
      </w:r>
    </w:p>
    <w:p w14:paraId="19A04329">
      <w:pPr>
        <w:pStyle w:val="26"/>
      </w:pPr>
    </w:p>
    <w:p w14:paraId="343D36A4">
      <w:pPr>
        <w:pStyle w:val="26"/>
        <w:ind w:firstLine="0" w:firstLineChars="0"/>
        <w:sectPr>
          <w:headerReference r:id="rId5" w:type="default"/>
          <w:footerReference r:id="rId6" w:type="default"/>
          <w:pgSz w:w="11906" w:h="16838"/>
          <w:pgMar w:top="567" w:right="1134" w:bottom="1134" w:left="1417" w:header="1418" w:footer="1134" w:gutter="0"/>
          <w:pgNumType w:fmt="upperRoman" w:start="1"/>
          <w:cols w:space="425" w:num="1"/>
          <w:formProt w:val="0"/>
          <w:docGrid w:type="lines" w:linePitch="312" w:charSpace="0"/>
        </w:sectPr>
      </w:pPr>
    </w:p>
    <w:p w14:paraId="2B65F4A4">
      <w:pPr>
        <w:pStyle w:val="26"/>
        <w:ind w:firstLine="640"/>
        <w:jc w:val="center"/>
        <w:rPr>
          <w:rFonts w:hint="eastAsia" w:ascii="黑体" w:hAnsi="黑体" w:eastAsia="黑体"/>
          <w:sz w:val="32"/>
          <w:szCs w:val="32"/>
        </w:rPr>
      </w:pPr>
      <w:r>
        <w:rPr>
          <w:rFonts w:hint="eastAsia" w:ascii="黑体" w:hAnsi="黑体" w:eastAsia="黑体"/>
          <w:sz w:val="32"/>
          <w:szCs w:val="32"/>
        </w:rPr>
        <w:t>高温气冷堆核动力厂</w:t>
      </w:r>
      <w:r>
        <w:rPr>
          <w:rFonts w:ascii="黑体" w:hAnsi="黑体" w:eastAsia="黑体"/>
          <w:sz w:val="32"/>
          <w:szCs w:val="32"/>
        </w:rPr>
        <w:t>反射层石墨材料技术要求</w:t>
      </w:r>
    </w:p>
    <w:p w14:paraId="016700DD">
      <w:pPr>
        <w:pStyle w:val="47"/>
        <w:spacing w:before="312" w:after="312"/>
        <w:ind w:left="0"/>
        <w:rPr>
          <w:szCs w:val="21"/>
        </w:rPr>
      </w:pPr>
      <w:bookmarkStart w:id="11" w:name="_Toc20302069"/>
      <w:bookmarkStart w:id="12" w:name="_Toc220749608"/>
      <w:bookmarkStart w:id="13" w:name="_Toc20301579"/>
      <w:r>
        <w:rPr>
          <w:rFonts w:hint="eastAsia"/>
          <w:szCs w:val="21"/>
        </w:rPr>
        <w:t>范围</w:t>
      </w:r>
      <w:bookmarkEnd w:id="11"/>
      <w:bookmarkEnd w:id="12"/>
      <w:bookmarkEnd w:id="13"/>
    </w:p>
    <w:p w14:paraId="6798C41F">
      <w:pPr>
        <w:pStyle w:val="26"/>
        <w:rPr>
          <w:rFonts w:ascii="Times New Roman"/>
        </w:rPr>
      </w:pPr>
      <w:r>
        <w:rPr>
          <w:rFonts w:hint="eastAsia" w:ascii="Times New Roman"/>
        </w:rPr>
        <w:t>本文件</w:t>
      </w:r>
      <w:r>
        <w:rPr>
          <w:rFonts w:ascii="Times New Roman"/>
        </w:rPr>
        <w:t>规定了高温气冷堆</w:t>
      </w:r>
      <w:r>
        <w:rPr>
          <w:rFonts w:hint="eastAsia" w:ascii="Times New Roman"/>
        </w:rPr>
        <w:t>反射层石墨</w:t>
      </w:r>
      <w:r>
        <w:rPr>
          <w:rFonts w:ascii="Times New Roman"/>
        </w:rPr>
        <w:t>材料</w:t>
      </w:r>
      <w:r>
        <w:rPr>
          <w:rFonts w:hint="eastAsia" w:ascii="Times New Roman"/>
        </w:rPr>
        <w:t>性能</w:t>
      </w:r>
      <w:r>
        <w:rPr>
          <w:rFonts w:ascii="Times New Roman"/>
        </w:rPr>
        <w:t>要求、</w:t>
      </w:r>
      <w:r>
        <w:rPr>
          <w:rFonts w:hint="eastAsia" w:ascii="Times New Roman"/>
        </w:rPr>
        <w:t>材料</w:t>
      </w:r>
      <w:r>
        <w:rPr>
          <w:rFonts w:ascii="Times New Roman"/>
        </w:rPr>
        <w:t>生产、验收</w:t>
      </w:r>
      <w:r>
        <w:rPr>
          <w:rFonts w:hint="eastAsia" w:ascii="Times New Roman"/>
        </w:rPr>
        <w:t>检查</w:t>
      </w:r>
      <w:r>
        <w:rPr>
          <w:rFonts w:ascii="Times New Roman"/>
        </w:rPr>
        <w:t>、包装和运输</w:t>
      </w:r>
      <w:r>
        <w:rPr>
          <w:rFonts w:hint="eastAsia" w:ascii="Times New Roman"/>
        </w:rPr>
        <w:t>等</w:t>
      </w:r>
      <w:r>
        <w:rPr>
          <w:rFonts w:ascii="Times New Roman"/>
        </w:rPr>
        <w:t>技术要求。</w:t>
      </w:r>
    </w:p>
    <w:p w14:paraId="6AA8CF0C">
      <w:pPr>
        <w:pStyle w:val="26"/>
      </w:pPr>
      <w:r>
        <w:rPr>
          <w:rFonts w:ascii="Times New Roman"/>
        </w:rPr>
        <w:t>本</w:t>
      </w:r>
      <w:r>
        <w:rPr>
          <w:rFonts w:hint="eastAsia" w:ascii="Times New Roman"/>
        </w:rPr>
        <w:t>文件</w:t>
      </w:r>
      <w:r>
        <w:rPr>
          <w:rFonts w:ascii="Times New Roman"/>
        </w:rPr>
        <w:t>适用于以石油焦、</w:t>
      </w:r>
      <w:r>
        <w:rPr>
          <w:rFonts w:hint="eastAsia"/>
        </w:rPr>
        <w:t>沥青焦等原材料</w:t>
      </w:r>
      <w:r>
        <w:rPr>
          <w:rFonts w:ascii="Times New Roman"/>
        </w:rPr>
        <w:t>，经成型、焙烧、浸渍、二次焙烧、石墨化和</w:t>
      </w:r>
      <w:r>
        <w:rPr>
          <w:rFonts w:hint="eastAsia" w:ascii="Times New Roman"/>
        </w:rPr>
        <w:t>纯化</w:t>
      </w:r>
      <w:r>
        <w:rPr>
          <w:rFonts w:ascii="Times New Roman"/>
        </w:rPr>
        <w:t>而制成的</w:t>
      </w:r>
      <w:r>
        <w:rPr>
          <w:rFonts w:hint="eastAsia" w:ascii="Times New Roman"/>
        </w:rPr>
        <w:t>石墨</w:t>
      </w:r>
      <w:r>
        <w:rPr>
          <w:rFonts w:ascii="Times New Roman"/>
        </w:rPr>
        <w:t>材料，供高温气冷堆反射层使用。</w:t>
      </w:r>
    </w:p>
    <w:p w14:paraId="691BF957">
      <w:pPr>
        <w:pStyle w:val="47"/>
        <w:spacing w:before="312" w:after="312"/>
        <w:ind w:left="0"/>
        <w:rPr>
          <w:szCs w:val="21"/>
        </w:rPr>
      </w:pPr>
      <w:bookmarkStart w:id="14" w:name="_Toc220749609"/>
      <w:bookmarkStart w:id="15" w:name="_Toc20302070"/>
      <w:bookmarkStart w:id="16" w:name="_Toc20301580"/>
      <w:r>
        <w:rPr>
          <w:rFonts w:hint="eastAsia"/>
          <w:szCs w:val="21"/>
        </w:rPr>
        <w:t>规范性引用文件</w:t>
      </w:r>
      <w:bookmarkEnd w:id="14"/>
      <w:bookmarkEnd w:id="15"/>
      <w:bookmarkEnd w:id="16"/>
    </w:p>
    <w:p w14:paraId="713973B7">
      <w:pPr>
        <w:pStyle w:val="26"/>
      </w:pPr>
      <w:r>
        <w:t>本文件没有规范性引用文件。</w:t>
      </w:r>
    </w:p>
    <w:p w14:paraId="44193003">
      <w:pPr>
        <w:pStyle w:val="47"/>
        <w:spacing w:before="312" w:after="312"/>
        <w:ind w:left="0"/>
        <w:rPr>
          <w:szCs w:val="21"/>
        </w:rPr>
      </w:pPr>
      <w:bookmarkStart w:id="17" w:name="_Toc381003436"/>
      <w:bookmarkStart w:id="18" w:name="_Toc504579062"/>
      <w:bookmarkStart w:id="19" w:name="_Toc381002925"/>
      <w:bookmarkStart w:id="20" w:name="_Toc502135604"/>
      <w:bookmarkStart w:id="21" w:name="_Toc380005105"/>
      <w:bookmarkStart w:id="22" w:name="_Toc504579609"/>
      <w:bookmarkStart w:id="23" w:name="_Toc220749610"/>
      <w:bookmarkStart w:id="24" w:name="_Toc20302071"/>
      <w:bookmarkStart w:id="25" w:name="_Toc490662725"/>
      <w:r>
        <w:rPr>
          <w:rFonts w:hint="eastAsia"/>
          <w:szCs w:val="21"/>
        </w:rPr>
        <w:t>术语和定义</w:t>
      </w:r>
      <w:bookmarkEnd w:id="17"/>
      <w:bookmarkEnd w:id="18"/>
      <w:bookmarkEnd w:id="19"/>
      <w:bookmarkEnd w:id="20"/>
      <w:bookmarkEnd w:id="21"/>
      <w:bookmarkEnd w:id="22"/>
      <w:bookmarkEnd w:id="23"/>
      <w:bookmarkEnd w:id="24"/>
      <w:bookmarkEnd w:id="25"/>
    </w:p>
    <w:p w14:paraId="1553B8BC">
      <w:pPr>
        <w:pStyle w:val="26"/>
      </w:pPr>
      <w:r>
        <w:rPr>
          <w:rFonts w:ascii="Times New Roman"/>
          <w:szCs w:val="21"/>
        </w:rPr>
        <w:t>下列术语和定义适用于本文件。</w:t>
      </w:r>
    </w:p>
    <w:p w14:paraId="662D462E">
      <w:pPr>
        <w:pStyle w:val="44"/>
        <w:spacing w:before="156" w:after="156"/>
        <w:ind w:left="0"/>
      </w:pPr>
      <w:bookmarkStart w:id="26" w:name="_Toc48658966"/>
      <w:bookmarkEnd w:id="26"/>
    </w:p>
    <w:p w14:paraId="633A6FDD">
      <w:pPr>
        <w:pStyle w:val="44"/>
        <w:numPr>
          <w:numId w:val="0"/>
        </w:numPr>
        <w:spacing w:before="156" w:after="156"/>
        <w:ind w:leftChars="0" w:firstLine="420" w:firstLineChars="200"/>
      </w:pPr>
      <w:bookmarkStart w:id="175" w:name="_GoBack"/>
      <w:bookmarkEnd w:id="175"/>
      <w:r>
        <w:t xml:space="preserve">热膨胀系数各向异性比  </w:t>
      </w:r>
      <w:bookmarkStart w:id="27" w:name="OLE_LINK13"/>
      <w:r>
        <w:t>CTE based anisotropy ratio</w:t>
      </w:r>
      <w:bookmarkEnd w:id="27"/>
    </w:p>
    <w:p w14:paraId="53E250E5">
      <w:pPr>
        <w:pStyle w:val="26"/>
      </w:pPr>
      <w:r>
        <w:t>不同成型方向热膨胀系数的比值（较大值与较小值的比值），方向的确定参考材料的成型工艺。</w:t>
      </w:r>
    </w:p>
    <w:p w14:paraId="2C463257">
      <w:pPr>
        <w:pStyle w:val="47"/>
        <w:spacing w:before="312" w:after="312"/>
        <w:ind w:left="0"/>
        <w:rPr>
          <w:szCs w:val="21"/>
        </w:rPr>
      </w:pPr>
      <w:bookmarkStart w:id="28" w:name="_Toc119926290"/>
      <w:bookmarkEnd w:id="28"/>
      <w:bookmarkStart w:id="29" w:name="_Toc490662726"/>
      <w:bookmarkEnd w:id="29"/>
      <w:bookmarkStart w:id="30" w:name="_Toc48658974"/>
      <w:bookmarkEnd w:id="30"/>
      <w:bookmarkStart w:id="31" w:name="_Toc380005106"/>
      <w:bookmarkEnd w:id="31"/>
      <w:bookmarkStart w:id="32" w:name="_Toc119926388"/>
      <w:bookmarkEnd w:id="32"/>
      <w:bookmarkStart w:id="33" w:name="_Toc119926390"/>
      <w:bookmarkEnd w:id="33"/>
      <w:bookmarkStart w:id="34" w:name="_Toc119926289"/>
      <w:bookmarkEnd w:id="34"/>
      <w:bookmarkStart w:id="35" w:name="_Toc119926395"/>
      <w:bookmarkEnd w:id="35"/>
      <w:bookmarkStart w:id="36" w:name="_Toc119926389"/>
      <w:bookmarkEnd w:id="36"/>
      <w:bookmarkStart w:id="37" w:name="_Toc119926393"/>
      <w:bookmarkEnd w:id="37"/>
      <w:bookmarkStart w:id="38" w:name="_Toc119926292"/>
      <w:bookmarkEnd w:id="38"/>
      <w:bookmarkStart w:id="39" w:name="_Toc119926291"/>
      <w:bookmarkEnd w:id="39"/>
      <w:bookmarkStart w:id="40" w:name="_Toc119926286"/>
      <w:bookmarkEnd w:id="40"/>
      <w:bookmarkStart w:id="41" w:name="_Toc119926288"/>
      <w:bookmarkEnd w:id="41"/>
      <w:bookmarkStart w:id="42" w:name="_Toc490662728"/>
      <w:bookmarkEnd w:id="42"/>
      <w:bookmarkStart w:id="43" w:name="_Toc119926396"/>
      <w:bookmarkEnd w:id="43"/>
      <w:bookmarkStart w:id="44" w:name="_Toc48658972"/>
      <w:bookmarkEnd w:id="44"/>
      <w:bookmarkStart w:id="45" w:name="_Toc381002926"/>
      <w:bookmarkEnd w:id="45"/>
      <w:bookmarkStart w:id="46" w:name="_Toc119926394"/>
      <w:bookmarkEnd w:id="46"/>
      <w:bookmarkStart w:id="47" w:name="_Toc119926285"/>
      <w:bookmarkEnd w:id="47"/>
      <w:bookmarkStart w:id="48" w:name="_Toc119926392"/>
      <w:bookmarkEnd w:id="48"/>
      <w:bookmarkStart w:id="49" w:name="_Toc381003437"/>
      <w:bookmarkEnd w:id="49"/>
      <w:bookmarkStart w:id="50" w:name="_Toc119926287"/>
      <w:bookmarkEnd w:id="50"/>
      <w:bookmarkStart w:id="51" w:name="_Toc119926293"/>
      <w:bookmarkEnd w:id="51"/>
      <w:bookmarkStart w:id="52" w:name="_Toc119926391"/>
      <w:bookmarkEnd w:id="52"/>
      <w:bookmarkStart w:id="53" w:name="_Toc119071413"/>
      <w:bookmarkEnd w:id="53"/>
      <w:bookmarkStart w:id="54" w:name="_Toc48658976"/>
      <w:bookmarkEnd w:id="54"/>
      <w:bookmarkStart w:id="55" w:name="_Toc220749611"/>
      <w:r>
        <w:rPr>
          <w:szCs w:val="21"/>
        </w:rPr>
        <w:t>材料性能</w:t>
      </w:r>
      <w:r>
        <w:rPr>
          <w:rFonts w:hint="eastAsia"/>
          <w:szCs w:val="21"/>
        </w:rPr>
        <w:t>要求</w:t>
      </w:r>
      <w:bookmarkEnd w:id="55"/>
    </w:p>
    <w:p w14:paraId="1C060295">
      <w:pPr>
        <w:pStyle w:val="44"/>
        <w:spacing w:before="156" w:after="156"/>
        <w:ind w:left="0"/>
      </w:pPr>
      <w:r>
        <w:rPr>
          <w:rFonts w:hint="eastAsia"/>
        </w:rPr>
        <w:t>成型方法</w:t>
      </w:r>
    </w:p>
    <w:p w14:paraId="2D9DD2D7">
      <w:pPr>
        <w:pStyle w:val="26"/>
      </w:pPr>
      <w:r>
        <w:t>反射层石墨材料成型方法应采用</w:t>
      </w:r>
      <w:r>
        <w:rPr>
          <w:rFonts w:hint="eastAsia"/>
        </w:rPr>
        <w:t>等静压</w:t>
      </w:r>
      <w:r>
        <w:t>或其它设计方认可的成型方法。</w:t>
      </w:r>
    </w:p>
    <w:p w14:paraId="1AAE4B3D">
      <w:pPr>
        <w:pStyle w:val="44"/>
        <w:spacing w:before="156" w:after="156"/>
        <w:ind w:left="0"/>
      </w:pPr>
      <w:r>
        <w:rPr>
          <w:rFonts w:hint="eastAsia"/>
        </w:rPr>
        <w:t>成分分析</w:t>
      </w:r>
    </w:p>
    <w:p w14:paraId="2B89216D">
      <w:pPr>
        <w:pStyle w:val="26"/>
      </w:pPr>
      <w:r>
        <w:t>应至少对下列元素进行分析：硼（Boron）</w:t>
      </w:r>
      <w:r>
        <w:rPr>
          <w:rFonts w:hint="eastAsia"/>
        </w:rPr>
        <w:t>、</w:t>
      </w:r>
      <w:r>
        <w:t>镉(Cadmium)</w:t>
      </w:r>
      <w:r>
        <w:rPr>
          <w:rFonts w:hint="eastAsia"/>
        </w:rPr>
        <w:t>、</w:t>
      </w:r>
      <w:r>
        <w:t>钙(Calcium)</w:t>
      </w:r>
      <w:r>
        <w:rPr>
          <w:rFonts w:hint="eastAsia"/>
        </w:rPr>
        <w:t>、</w:t>
      </w:r>
      <w:r>
        <w:t>氯(Chlorine)</w:t>
      </w:r>
      <w:r>
        <w:rPr>
          <w:rFonts w:hint="eastAsia"/>
        </w:rPr>
        <w:t>、</w:t>
      </w:r>
      <w:r>
        <w:t>镝(Dysprosium)</w:t>
      </w:r>
      <w:r>
        <w:rPr>
          <w:rFonts w:hint="eastAsia"/>
        </w:rPr>
        <w:t>、</w:t>
      </w:r>
      <w:r>
        <w:t>铁(Iron)</w:t>
      </w:r>
      <w:r>
        <w:rPr>
          <w:rFonts w:hint="eastAsia"/>
        </w:rPr>
        <w:t>、</w:t>
      </w:r>
      <w:r>
        <w:t>铕(Europium)</w:t>
      </w:r>
      <w:r>
        <w:rPr>
          <w:rFonts w:hint="eastAsia"/>
        </w:rPr>
        <w:t>、</w:t>
      </w:r>
      <w:r>
        <w:t>钆(Gadolinium)</w:t>
      </w:r>
      <w:r>
        <w:rPr>
          <w:rFonts w:hint="eastAsia"/>
        </w:rPr>
        <w:t>、</w:t>
      </w:r>
      <w:r>
        <w:t>钴(Cobalt)</w:t>
      </w:r>
      <w:r>
        <w:rPr>
          <w:rFonts w:hint="eastAsia"/>
        </w:rPr>
        <w:t>、</w:t>
      </w:r>
      <w:r>
        <w:t>锂(Lithium)</w:t>
      </w:r>
      <w:r>
        <w:rPr>
          <w:rFonts w:hint="eastAsia"/>
        </w:rPr>
        <w:t>、</w:t>
      </w:r>
      <w:r>
        <w:t>镍(Nickel)</w:t>
      </w:r>
      <w:r>
        <w:rPr>
          <w:rFonts w:hint="eastAsia"/>
        </w:rPr>
        <w:t>、</w:t>
      </w:r>
      <w:r>
        <w:t>钐(Samarium)</w:t>
      </w:r>
      <w:r>
        <w:rPr>
          <w:rFonts w:hint="eastAsia"/>
        </w:rPr>
        <w:t>、</w:t>
      </w:r>
      <w:r>
        <w:t>钛(Titanium)</w:t>
      </w:r>
      <w:r>
        <w:rPr>
          <w:rFonts w:hint="eastAsia"/>
        </w:rPr>
        <w:t>、</w:t>
      </w:r>
      <w:r>
        <w:t>钒(Vanadium)</w:t>
      </w:r>
      <w:r>
        <w:rPr>
          <w:rFonts w:hint="eastAsia"/>
        </w:rPr>
        <w:t>、</w:t>
      </w:r>
      <w:r>
        <w:t xml:space="preserve">铬(Chromium) </w:t>
      </w:r>
      <w:r>
        <w:rPr>
          <w:rFonts w:hint="eastAsia"/>
        </w:rPr>
        <w:t>、</w:t>
      </w:r>
      <w:r>
        <w:t>锰(Manganese)</w:t>
      </w:r>
      <w:r>
        <w:rPr>
          <w:rFonts w:hint="eastAsia"/>
        </w:rPr>
        <w:t>、</w:t>
      </w:r>
      <w:r>
        <w:t>钼(Molybdenum)</w:t>
      </w:r>
      <w:r>
        <w:rPr>
          <w:rFonts w:hint="eastAsia"/>
        </w:rPr>
        <w:t>、</w:t>
      </w:r>
      <w:r>
        <w:t>铜(Cuprum)</w:t>
      </w:r>
      <w:r>
        <w:rPr>
          <w:rFonts w:hint="eastAsia"/>
        </w:rPr>
        <w:t>、</w:t>
      </w:r>
      <w:r>
        <w:t>硅(Silicon)</w:t>
      </w:r>
      <w:r>
        <w:rPr>
          <w:rFonts w:hint="eastAsia"/>
        </w:rPr>
        <w:t>、</w:t>
      </w:r>
      <w:r>
        <w:t>钠(Natrium)</w:t>
      </w:r>
      <w:r>
        <w:rPr>
          <w:rFonts w:hint="eastAsia"/>
        </w:rPr>
        <w:t>、</w:t>
      </w:r>
      <w:r>
        <w:t>钾(Kalium)。</w:t>
      </w:r>
    </w:p>
    <w:p w14:paraId="46D42A43">
      <w:pPr>
        <w:pStyle w:val="44"/>
        <w:spacing w:before="156" w:after="156"/>
        <w:ind w:left="0"/>
      </w:pPr>
      <w:r>
        <w:rPr>
          <w:rFonts w:hint="eastAsia"/>
        </w:rPr>
        <w:t>灰份和硼当量</w:t>
      </w:r>
    </w:p>
    <w:p w14:paraId="54663A1C">
      <w:pPr>
        <w:ind w:firstLine="420"/>
      </w:pPr>
      <w:r>
        <w:t>反射层石墨材料</w:t>
      </w:r>
      <w:r>
        <w:rPr>
          <w:rFonts w:hint="eastAsia"/>
        </w:rPr>
        <w:t>灰份与碰当量应满足设计方要求</w:t>
      </w:r>
      <w:r>
        <w:t>。采用的测试方法和标准应经过设计方的认可。</w:t>
      </w:r>
    </w:p>
    <w:p w14:paraId="70D021FB">
      <w:pPr>
        <w:pStyle w:val="44"/>
        <w:spacing w:before="156" w:after="156"/>
        <w:ind w:left="0"/>
      </w:pPr>
      <w:r>
        <w:t>未辐照的物理和机械性能</w:t>
      </w:r>
    </w:p>
    <w:p w14:paraId="7BB483E7">
      <w:pPr>
        <w:pStyle w:val="26"/>
      </w:pPr>
      <w:r>
        <w:t>反射层石墨材料未辐照的物理和机械性能应满足设计方要求，包括</w:t>
      </w:r>
      <w:r>
        <w:rPr>
          <w:rFonts w:hint="eastAsia"/>
        </w:rPr>
        <w:t>不限于</w:t>
      </w:r>
      <w:r>
        <w:t>焦的平均粒度、密度、弹性模量、泊松比、比热、热导率、热膨胀系数、各向异性比、抗拉强度、抗弯强度、抗压强度、断裂韧性等。供货方可以选择合适的测试方法和标准，但应经过设计方的认可。除密度、比热、泊松比和各向异性比外，其它参数都应有两个方向上的数据。</w:t>
      </w:r>
    </w:p>
    <w:p w14:paraId="57354082">
      <w:pPr>
        <w:pStyle w:val="44"/>
        <w:spacing w:before="156" w:after="156"/>
        <w:ind w:left="0"/>
      </w:pPr>
      <w:r>
        <w:rPr>
          <w:rFonts w:hint="eastAsia"/>
        </w:rPr>
        <w:t>材料均匀性</w:t>
      </w:r>
    </w:p>
    <w:p w14:paraId="30F8A45A">
      <w:pPr>
        <w:pStyle w:val="155"/>
        <w:spacing w:before="156" w:after="156"/>
      </w:pPr>
      <w:r>
        <w:rPr>
          <w:rFonts w:hint="eastAsia"/>
        </w:rPr>
        <w:t>供货方应提供</w:t>
      </w:r>
      <w:r>
        <w:t>石墨材料</w:t>
      </w:r>
      <w:r>
        <w:rPr>
          <w:rFonts w:hint="eastAsia"/>
        </w:rPr>
        <w:t>拉伸强度的的正态分布标准差，</w:t>
      </w:r>
      <w:bookmarkStart w:id="56" w:name="OLE_LINK3"/>
      <w:r>
        <w:rPr>
          <w:rFonts w:hint="eastAsia"/>
        </w:rPr>
        <w:t>平均值</w:t>
      </w:r>
      <w:bookmarkEnd w:id="56"/>
      <w:r>
        <w:rPr>
          <w:rFonts w:hint="eastAsia"/>
        </w:rPr>
        <w:t>。正态分布概率密度函数如下：</w:t>
      </w:r>
    </w:p>
    <w:p w14:paraId="4DC5E477">
      <w:pPr>
        <w:pStyle w:val="151"/>
        <w:spacing w:line="240" w:lineRule="auto"/>
      </w:pPr>
      <w:r>
        <w:tab/>
      </w:r>
      <w:r>
        <w:rPr>
          <w:position w:val="-28"/>
        </w:rPr>
        <w:object>
          <v:shape id="_x0000_i1025" o:spt="75" type="#_x0000_t75" style="height:38.4pt;width:104.4pt;" o:ole="t" filled="f" o:preferrelative="t" stroked="f" coordsize="21600,21600">
            <v:path/>
            <v:fill on="f" focussize="0,0"/>
            <v:stroke on="f" joinstyle="miter"/>
            <v:imagedata r:id="rId10" o:title=""/>
            <o:lock v:ext="edit" aspectratio="t"/>
            <w10:wrap type="none"/>
            <w10:anchorlock/>
          </v:shape>
          <o:OLEObject Type="Embed" ProgID="Equation.DSMT4" ShapeID="_x0000_i1025" DrawAspect="Content" ObjectID="_1468075725" r:id="rId9">
            <o:LockedField>false</o:LockedField>
          </o:OLEObject>
        </w:object>
      </w:r>
      <w:r>
        <w:t xml:space="preserve"> </w:t>
      </w:r>
      <w:r>
        <w:tab/>
      </w:r>
      <w:r>
        <w:t xml:space="preserve"> </w:t>
      </w:r>
      <w:r>
        <w:fldChar w:fldCharType="begin"/>
      </w:r>
      <w:r>
        <w:instrText xml:space="preserve"> MACROBUTTON MTPlaceRef \* MERGEFORMAT </w:instrText>
      </w:r>
      <w:r>
        <w:fldChar w:fldCharType="begin"/>
      </w:r>
      <w:r>
        <w:instrText xml:space="preserve"> SEQ MTEqn \h \* MERGEFORMAT </w:instrText>
      </w:r>
      <w:r>
        <w:fldChar w:fldCharType="end"/>
      </w:r>
      <w:r>
        <w:instrText xml:space="preserve">(</w:instrText>
      </w:r>
      <w:r>
        <w:fldChar w:fldCharType="begin"/>
      </w:r>
      <w:r>
        <w:instrText xml:space="preserve"> SEQ MTEqn \c \* Arabic \* MERGEFORMAT </w:instrText>
      </w:r>
      <w:r>
        <w:fldChar w:fldCharType="separate"/>
      </w:r>
      <w:r>
        <w:instrText xml:space="preserve">1</w:instrText>
      </w:r>
      <w:r>
        <w:fldChar w:fldCharType="end"/>
      </w:r>
      <w:r>
        <w:instrText xml:space="preserve">)</w:instrText>
      </w:r>
      <w:r>
        <w:fldChar w:fldCharType="end"/>
      </w:r>
    </w:p>
    <w:p w14:paraId="3BDA85EB">
      <w:pPr>
        <w:ind w:firstLine="420"/>
      </w:pPr>
      <w:r>
        <w:rPr>
          <w:rFonts w:hint="eastAsia"/>
        </w:rPr>
        <w:t>式中：</w:t>
      </w:r>
    </w:p>
    <w:p w14:paraId="4950564C">
      <w:pPr>
        <w:ind w:firstLine="420"/>
      </w:pPr>
      <w:r>
        <w:t>σ——</w:t>
      </w:r>
      <w:r>
        <w:rPr>
          <w:rFonts w:hint="eastAsia"/>
        </w:rPr>
        <w:t>标准差；</w:t>
      </w:r>
    </w:p>
    <w:p w14:paraId="2A0B77DA">
      <w:pPr>
        <w:ind w:firstLine="420"/>
      </w:pPr>
      <w:r>
        <w:t>μ——</w:t>
      </w:r>
      <w:r>
        <w:rPr>
          <w:rFonts w:hint="eastAsia"/>
        </w:rPr>
        <w:t>平均值。</w:t>
      </w:r>
    </w:p>
    <w:p w14:paraId="1501C2A9">
      <w:pPr>
        <w:pStyle w:val="155"/>
        <w:spacing w:before="156" w:after="156"/>
        <w:ind w:left="0" w:firstLine="0"/>
      </w:pPr>
      <w:r>
        <w:t>供货方应提供石墨材料拉伸强度的两参数威布尔分布的几何参数m和尺度参数R的数值，需保证数值具有95%可信度。材料均匀性的具体验收准则应在材料技术规格书和材料验收技术条件中规定。</w:t>
      </w:r>
      <w:r>
        <w:rPr>
          <w:rFonts w:hint="eastAsia"/>
        </w:rPr>
        <w:t>两参数威布尔分布概率密度函数如下：</w:t>
      </w:r>
    </w:p>
    <w:p w14:paraId="7F958669">
      <w:pPr>
        <w:pStyle w:val="151"/>
        <w:spacing w:line="240" w:lineRule="auto"/>
      </w:pPr>
      <w:r>
        <w:tab/>
      </w:r>
      <w:r>
        <w:rPr>
          <w:position w:val="-32"/>
        </w:rPr>
        <w:object>
          <v:shape id="_x0000_i1026" o:spt="75" type="#_x0000_t75" style="height:42.6pt;width:162.6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r>
        <w:t xml:space="preserve"> </w:t>
      </w:r>
      <w:r>
        <w:tab/>
      </w:r>
      <w:r>
        <w:fldChar w:fldCharType="begin"/>
      </w:r>
      <w:r>
        <w:instrText xml:space="preserve"> MACROBUTTON MTPlaceRef \* MERGEFORMAT </w:instrText>
      </w:r>
      <w:r>
        <w:fldChar w:fldCharType="begin"/>
      </w:r>
      <w:r>
        <w:instrText xml:space="preserve"> SEQ MTEqn \h \* MERGEFORMAT </w:instrText>
      </w:r>
      <w:r>
        <w:fldChar w:fldCharType="end"/>
      </w:r>
      <w:r>
        <w:instrText xml:space="preserve">(</w:instrText>
      </w:r>
      <w:r>
        <w:fldChar w:fldCharType="begin"/>
      </w:r>
      <w:r>
        <w:instrText xml:space="preserve"> SEQ MTEqn \c \* Arabic \* MERGEFORMAT </w:instrText>
      </w:r>
      <w:r>
        <w:fldChar w:fldCharType="separate"/>
      </w:r>
      <w:r>
        <w:instrText xml:space="preserve">2</w:instrText>
      </w:r>
      <w:r>
        <w:fldChar w:fldCharType="end"/>
      </w:r>
      <w:r>
        <w:instrText xml:space="preserve">)</w:instrText>
      </w:r>
      <w:r>
        <w:fldChar w:fldCharType="end"/>
      </w:r>
    </w:p>
    <w:p w14:paraId="2652731E">
      <w:pPr>
        <w:ind w:firstLine="420"/>
      </w:pPr>
      <w:r>
        <w:rPr>
          <w:rFonts w:hint="eastAsia"/>
        </w:rPr>
        <w:t>式中：</w:t>
      </w:r>
    </w:p>
    <w:p w14:paraId="4416FADF">
      <w:pPr>
        <w:ind w:firstLine="420"/>
      </w:pPr>
      <w:r>
        <w:rPr>
          <w:rFonts w:hint="eastAsia"/>
        </w:rPr>
        <w:t>m</w:t>
      </w:r>
      <w:r>
        <w:t>——</w:t>
      </w:r>
      <w:r>
        <w:rPr>
          <w:rFonts w:hint="eastAsia"/>
        </w:rPr>
        <w:t>形状参数；</w:t>
      </w:r>
    </w:p>
    <w:p w14:paraId="40A326F6">
      <w:pPr>
        <w:ind w:firstLine="420"/>
      </w:pPr>
      <w:r>
        <w:rPr>
          <w:rFonts w:hint="eastAsia"/>
        </w:rPr>
        <w:t>Sc</w:t>
      </w:r>
      <w:r>
        <w:t>——</w:t>
      </w:r>
      <w:r>
        <w:rPr>
          <w:rFonts w:hint="eastAsia"/>
        </w:rPr>
        <w:t>特征强度参数。</w:t>
      </w:r>
    </w:p>
    <w:p w14:paraId="4E1A7F10">
      <w:pPr>
        <w:pStyle w:val="44"/>
        <w:spacing w:before="156" w:after="156"/>
        <w:ind w:left="0"/>
      </w:pPr>
      <w:r>
        <w:rPr>
          <w:rFonts w:hint="eastAsia"/>
        </w:rPr>
        <w:t>材料缺陷</w:t>
      </w:r>
    </w:p>
    <w:p w14:paraId="69895E87">
      <w:pPr>
        <w:pStyle w:val="26"/>
      </w:pPr>
      <w:r>
        <w:t>石墨材料表面和体积内</w:t>
      </w:r>
      <w:r>
        <w:rPr>
          <w:rFonts w:hint="eastAsia"/>
        </w:rPr>
        <w:t>无</w:t>
      </w:r>
      <w:r>
        <w:t>夹渣、分层和超过限值的裂纹、孔洞和疏松等缺陷。</w:t>
      </w:r>
    </w:p>
    <w:p w14:paraId="55FC5974">
      <w:pPr>
        <w:pStyle w:val="44"/>
        <w:spacing w:before="156" w:after="156"/>
        <w:ind w:left="0"/>
      </w:pPr>
      <w:r>
        <w:t>辐照后的特性</w:t>
      </w:r>
    </w:p>
    <w:p w14:paraId="4D008D02">
      <w:pPr>
        <w:pStyle w:val="155"/>
        <w:spacing w:before="156" w:after="156"/>
        <w:ind w:left="0" w:firstLine="0"/>
      </w:pPr>
      <w:r>
        <w:t>供货方应提供</w:t>
      </w:r>
      <w:r>
        <w:rPr>
          <w:rFonts w:hint="eastAsia"/>
        </w:rPr>
        <w:t>石墨辐照后的特性数据至少包括辐照变形、辐照蠕变系数、热导率、热膨胀系数、弹性模量、强度。</w:t>
      </w:r>
    </w:p>
    <w:p w14:paraId="292E65B6">
      <w:pPr>
        <w:pStyle w:val="155"/>
        <w:spacing w:before="156" w:after="156"/>
        <w:ind w:left="0" w:firstLine="0"/>
      </w:pPr>
      <w:r>
        <w:t>辐照的</w:t>
      </w:r>
      <w:r>
        <w:rPr>
          <w:rFonts w:hint="eastAsia"/>
        </w:rPr>
        <w:t>最高快中子注量与</w:t>
      </w:r>
      <w:r>
        <w:t>温度范围应该能够基本上覆盖高温气冷堆</w:t>
      </w:r>
      <w:r>
        <w:rPr>
          <w:rFonts w:hint="eastAsia"/>
        </w:rPr>
        <w:t>反射层</w:t>
      </w:r>
      <w:r>
        <w:t>石墨构件所承受的范围</w:t>
      </w:r>
      <w:r>
        <w:rPr>
          <w:rFonts w:hint="eastAsia"/>
        </w:rPr>
        <w:t>，</w:t>
      </w:r>
      <w:r>
        <w:t>不同温度点对应的最高中子注量应不低于高温气冷堆</w:t>
      </w:r>
      <w:r>
        <w:rPr>
          <w:rFonts w:hint="eastAsia"/>
        </w:rPr>
        <w:t>设计</w:t>
      </w:r>
      <w:r>
        <w:t>寿期内该温度点石墨构件上承受中子注量的最大值</w:t>
      </w:r>
      <w:r>
        <w:rPr>
          <w:rFonts w:hint="eastAsia"/>
        </w:rPr>
        <w:t>。</w:t>
      </w:r>
    </w:p>
    <w:p w14:paraId="7400C4BD">
      <w:pPr>
        <w:pStyle w:val="155"/>
        <w:spacing w:before="156" w:after="156"/>
        <w:ind w:left="0" w:firstLine="0"/>
      </w:pPr>
      <w:r>
        <w:rPr>
          <w:rFonts w:hint="eastAsia"/>
        </w:rPr>
        <w:t>辐照试验的测量数据点最小数量应满足设计方要求。</w:t>
      </w:r>
    </w:p>
    <w:p w14:paraId="5C888DC1">
      <w:pPr>
        <w:pStyle w:val="44"/>
        <w:spacing w:before="156" w:after="156"/>
        <w:ind w:left="0"/>
      </w:pPr>
      <w:r>
        <w:rPr>
          <w:rFonts w:hint="eastAsia"/>
        </w:rPr>
        <w:t>其他特性</w:t>
      </w:r>
    </w:p>
    <w:p w14:paraId="7DB31221">
      <w:pPr>
        <w:pStyle w:val="26"/>
      </w:pPr>
      <w:r>
        <w:t>供货方应提供石墨材料疲劳寿命特性</w:t>
      </w:r>
      <w:r>
        <w:rPr>
          <w:rFonts w:hint="eastAsia"/>
        </w:rPr>
        <w:t>、疲劳裂纹扩展特性、腐蚀和氧化特性等。</w:t>
      </w:r>
    </w:p>
    <w:p w14:paraId="59CB8734">
      <w:pPr>
        <w:pStyle w:val="47"/>
        <w:spacing w:before="312" w:after="312"/>
        <w:ind w:left="0"/>
        <w:rPr>
          <w:szCs w:val="21"/>
        </w:rPr>
      </w:pPr>
      <w:bookmarkStart w:id="57" w:name="_Toc220749612"/>
      <w:r>
        <w:rPr>
          <w:rFonts w:hint="eastAsia"/>
          <w:szCs w:val="21"/>
        </w:rPr>
        <w:t>材料生产</w:t>
      </w:r>
      <w:bookmarkEnd w:id="57"/>
    </w:p>
    <w:p w14:paraId="700EC29C">
      <w:pPr>
        <w:pStyle w:val="44"/>
        <w:spacing w:before="156" w:after="156"/>
        <w:ind w:left="0"/>
        <w:rPr>
          <w:szCs w:val="20"/>
        </w:rPr>
      </w:pPr>
      <w:r>
        <w:rPr>
          <w:rFonts w:hint="eastAsia"/>
          <w:szCs w:val="20"/>
        </w:rPr>
        <w:t>厂家资质</w:t>
      </w:r>
    </w:p>
    <w:p w14:paraId="014CCA05">
      <w:pPr>
        <w:pStyle w:val="26"/>
      </w:pPr>
      <w:r>
        <w:rPr>
          <w:rFonts w:hint="eastAsia"/>
        </w:rPr>
        <w:t>生产厂家的资质应满足以下要求：</w:t>
      </w:r>
    </w:p>
    <w:p w14:paraId="79EED24B">
      <w:pPr>
        <w:pStyle w:val="26"/>
        <w:numPr>
          <w:ilvl w:val="0"/>
          <w:numId w:val="18"/>
        </w:numPr>
        <w:ind w:firstLineChars="0"/>
      </w:pPr>
      <w:r>
        <w:rPr>
          <w:rFonts w:hint="eastAsia"/>
        </w:rPr>
        <w:t>反射层石墨材料生产厂家有生产核反应堆用石墨材料的经验（或具有相当的生产和技术能力）和经中国核安全管理部门认可的石墨材料生产企业。</w:t>
      </w:r>
    </w:p>
    <w:p w14:paraId="5A067517">
      <w:pPr>
        <w:pStyle w:val="26"/>
        <w:numPr>
          <w:ilvl w:val="0"/>
          <w:numId w:val="18"/>
        </w:numPr>
        <w:ind w:firstLineChars="0"/>
      </w:pPr>
      <w:r>
        <w:rPr>
          <w:rFonts w:hint="eastAsia"/>
        </w:rPr>
        <w:t>有完整的质保体系和制度，生产厂家应有完整相应的质保体系以保证生产的连续性，产品性能的稳定性和产品的可追溯性。</w:t>
      </w:r>
    </w:p>
    <w:p w14:paraId="44C6E3AC">
      <w:pPr>
        <w:pStyle w:val="44"/>
        <w:spacing w:before="156" w:after="156"/>
        <w:ind w:left="0"/>
        <w:rPr>
          <w:szCs w:val="20"/>
        </w:rPr>
      </w:pPr>
      <w:r>
        <w:rPr>
          <w:rFonts w:hint="eastAsia"/>
          <w:szCs w:val="20"/>
        </w:rPr>
        <w:t>生产工艺</w:t>
      </w:r>
    </w:p>
    <w:p w14:paraId="1D19220A">
      <w:pPr>
        <w:pStyle w:val="155"/>
        <w:spacing w:before="156" w:after="156"/>
        <w:ind w:left="0" w:firstLine="0"/>
      </w:pPr>
      <w:r>
        <w:rPr>
          <w:rFonts w:hint="eastAsia"/>
        </w:rPr>
        <w:t>石墨材料在制造前，供货方应依据设计方技术文件要求制定并提交制造程序，并根据制造程序确定的工艺进行工艺评定。工艺评定不能满足设计要求，则应优化制造工艺，重复工艺评定内容直到满足设计要求。工艺评定结果合格，经设计方和监管方认可，并固化原材料和关键制造工艺后，才能进行石墨正式产品的制造。</w:t>
      </w:r>
    </w:p>
    <w:p w14:paraId="683BAA54">
      <w:pPr>
        <w:pStyle w:val="155"/>
        <w:spacing w:before="156" w:after="156"/>
        <w:ind w:left="0" w:firstLine="0"/>
      </w:pPr>
      <w:r>
        <w:rPr>
          <w:rFonts w:hint="eastAsia"/>
        </w:rPr>
        <w:t>石墨材料的正式生产应制订完整的生产工艺计划，石墨材料生产过程中，必须按照固化的生产工艺要求执行。</w:t>
      </w:r>
    </w:p>
    <w:p w14:paraId="54024A68">
      <w:pPr>
        <w:pStyle w:val="155"/>
        <w:spacing w:before="156" w:after="156"/>
        <w:ind w:left="0" w:firstLine="0"/>
      </w:pPr>
      <w:r>
        <w:rPr>
          <w:rFonts w:hint="eastAsia"/>
        </w:rPr>
        <w:t>有稳定的满足要求的定型产品。</w:t>
      </w:r>
    </w:p>
    <w:p w14:paraId="76ED5537">
      <w:pPr>
        <w:pStyle w:val="155"/>
        <w:spacing w:before="156" w:after="156"/>
        <w:ind w:left="0" w:firstLine="0"/>
      </w:pPr>
      <w:r>
        <w:rPr>
          <w:rFonts w:hint="eastAsia"/>
        </w:rPr>
        <w:t>有稳定可靠的原材料供应，被选定的石墨材料产品的原材料供应，应能够保证满足定货总量的需要。</w:t>
      </w:r>
    </w:p>
    <w:p w14:paraId="09EB0C3B">
      <w:pPr>
        <w:pStyle w:val="155"/>
        <w:spacing w:before="156" w:after="156"/>
        <w:ind w:left="0" w:firstLine="0"/>
      </w:pPr>
      <w:r>
        <w:rPr>
          <w:rFonts w:hint="eastAsia"/>
        </w:rPr>
        <w:t>在生产过程中，各种制造工艺参数的控制点应有完整的记录。</w:t>
      </w:r>
    </w:p>
    <w:p w14:paraId="1940E09E">
      <w:pPr>
        <w:pStyle w:val="47"/>
        <w:spacing w:before="312" w:after="312"/>
        <w:ind w:left="0"/>
        <w:rPr>
          <w:szCs w:val="21"/>
        </w:rPr>
      </w:pPr>
      <w:bookmarkStart w:id="58" w:name="_Toc220749613"/>
      <w:r>
        <w:rPr>
          <w:rFonts w:hint="eastAsia"/>
          <w:szCs w:val="21"/>
        </w:rPr>
        <w:t>验收检查</w:t>
      </w:r>
      <w:bookmarkEnd w:id="58"/>
      <w:bookmarkStart w:id="59" w:name="_Toc119926351"/>
      <w:bookmarkEnd w:id="59"/>
      <w:bookmarkStart w:id="60" w:name="_Toc119926319"/>
      <w:bookmarkEnd w:id="60"/>
      <w:bookmarkStart w:id="61" w:name="_Toc119926442"/>
      <w:bookmarkEnd w:id="61"/>
      <w:bookmarkStart w:id="62" w:name="_Toc119926338"/>
      <w:bookmarkEnd w:id="62"/>
      <w:bookmarkStart w:id="63" w:name="_Toc119926437"/>
      <w:bookmarkEnd w:id="63"/>
      <w:bookmarkStart w:id="64" w:name="_Toc119926349"/>
      <w:bookmarkEnd w:id="64"/>
      <w:bookmarkStart w:id="65" w:name="_Toc119926335"/>
      <w:bookmarkEnd w:id="65"/>
      <w:bookmarkStart w:id="66" w:name="_Toc119926462"/>
      <w:bookmarkEnd w:id="66"/>
      <w:bookmarkStart w:id="67" w:name="_Toc119926449"/>
      <w:bookmarkEnd w:id="67"/>
      <w:bookmarkStart w:id="68" w:name="_Toc119926341"/>
      <w:bookmarkEnd w:id="68"/>
      <w:bookmarkStart w:id="69" w:name="_Toc119926461"/>
      <w:bookmarkEnd w:id="69"/>
      <w:bookmarkStart w:id="70" w:name="_Toc119926459"/>
      <w:bookmarkEnd w:id="70"/>
      <w:bookmarkStart w:id="71" w:name="_Toc119926354"/>
      <w:bookmarkEnd w:id="71"/>
      <w:bookmarkStart w:id="72" w:name="_Toc119926440"/>
      <w:bookmarkEnd w:id="72"/>
      <w:bookmarkStart w:id="73" w:name="_Toc119926452"/>
      <w:bookmarkEnd w:id="73"/>
      <w:bookmarkStart w:id="74" w:name="_Toc119926334"/>
      <w:bookmarkEnd w:id="74"/>
      <w:bookmarkStart w:id="75" w:name="_Toc119926456"/>
      <w:bookmarkEnd w:id="75"/>
      <w:bookmarkStart w:id="76" w:name="_Toc119926321"/>
      <w:bookmarkEnd w:id="76"/>
      <w:bookmarkStart w:id="77" w:name="_Toc119926310"/>
      <w:bookmarkEnd w:id="77"/>
      <w:bookmarkStart w:id="78" w:name="_Toc119926303"/>
      <w:bookmarkEnd w:id="78"/>
      <w:bookmarkStart w:id="79" w:name="_Toc119926455"/>
      <w:bookmarkEnd w:id="79"/>
      <w:bookmarkStart w:id="80" w:name="_Toc119926410"/>
      <w:bookmarkEnd w:id="80"/>
      <w:bookmarkStart w:id="81" w:name="_Toc119926340"/>
      <w:bookmarkEnd w:id="81"/>
      <w:bookmarkStart w:id="82" w:name="_Toc119926406"/>
      <w:bookmarkEnd w:id="82"/>
      <w:bookmarkStart w:id="83" w:name="_Toc119926348"/>
      <w:bookmarkEnd w:id="83"/>
      <w:bookmarkStart w:id="84" w:name="_Toc119926446"/>
      <w:bookmarkEnd w:id="84"/>
      <w:bookmarkStart w:id="85" w:name="_Toc119926305"/>
      <w:bookmarkEnd w:id="85"/>
      <w:bookmarkStart w:id="86" w:name="_Toc119926453"/>
      <w:bookmarkEnd w:id="86"/>
      <w:bookmarkStart w:id="87" w:name="_Toc119926411"/>
      <w:bookmarkEnd w:id="87"/>
      <w:bookmarkStart w:id="88" w:name="_Toc119926355"/>
      <w:bookmarkEnd w:id="88"/>
      <w:bookmarkStart w:id="89" w:name="_Toc119926417"/>
      <w:bookmarkEnd w:id="89"/>
      <w:bookmarkStart w:id="90" w:name="_Toc119926323"/>
      <w:bookmarkEnd w:id="90"/>
      <w:bookmarkStart w:id="91" w:name="_Toc119926458"/>
      <w:bookmarkEnd w:id="91"/>
      <w:bookmarkStart w:id="92" w:name="_Toc119926346"/>
      <w:bookmarkEnd w:id="92"/>
      <w:bookmarkStart w:id="93" w:name="_Toc119926357"/>
      <w:bookmarkEnd w:id="93"/>
      <w:bookmarkStart w:id="94" w:name="_Toc119926444"/>
      <w:bookmarkEnd w:id="94"/>
      <w:bookmarkStart w:id="95" w:name="_Toc119926457"/>
      <w:bookmarkEnd w:id="95"/>
      <w:bookmarkStart w:id="96" w:name="_Toc119926460"/>
      <w:bookmarkEnd w:id="96"/>
      <w:bookmarkStart w:id="97" w:name="_Toc119926324"/>
      <w:bookmarkEnd w:id="97"/>
      <w:bookmarkStart w:id="98" w:name="_Toc119926454"/>
      <w:bookmarkEnd w:id="98"/>
      <w:bookmarkStart w:id="99" w:name="_Toc119926343"/>
      <w:bookmarkEnd w:id="99"/>
      <w:bookmarkStart w:id="100" w:name="_Toc119926350"/>
      <w:bookmarkEnd w:id="100"/>
      <w:bookmarkStart w:id="101" w:name="_Toc119926356"/>
      <w:bookmarkEnd w:id="101"/>
      <w:bookmarkStart w:id="102" w:name="_Toc119926358"/>
      <w:bookmarkEnd w:id="102"/>
      <w:bookmarkStart w:id="103" w:name="_Toc119926317"/>
      <w:bookmarkEnd w:id="103"/>
      <w:bookmarkStart w:id="104" w:name="_Toc119926352"/>
      <w:bookmarkEnd w:id="104"/>
      <w:bookmarkStart w:id="105" w:name="_Toc119926353"/>
      <w:bookmarkEnd w:id="105"/>
      <w:bookmarkStart w:id="106" w:name="_Toc119926342"/>
      <w:bookmarkEnd w:id="106"/>
      <w:bookmarkStart w:id="107" w:name="_Toc119926359"/>
      <w:bookmarkEnd w:id="107"/>
      <w:bookmarkStart w:id="108" w:name="_Toc119926328"/>
      <w:bookmarkEnd w:id="108"/>
      <w:bookmarkStart w:id="109" w:name="_Toc119926428"/>
      <w:bookmarkEnd w:id="109"/>
      <w:bookmarkStart w:id="110" w:name="_Toc119926308"/>
      <w:bookmarkEnd w:id="110"/>
      <w:bookmarkStart w:id="111" w:name="_Toc119926329"/>
      <w:bookmarkEnd w:id="111"/>
      <w:bookmarkStart w:id="112" w:name="_Toc119926438"/>
      <w:bookmarkEnd w:id="112"/>
      <w:bookmarkStart w:id="113" w:name="_Toc119926347"/>
      <w:bookmarkEnd w:id="113"/>
      <w:bookmarkStart w:id="114" w:name="_Toc119926316"/>
      <w:bookmarkEnd w:id="114"/>
      <w:bookmarkStart w:id="115" w:name="_Toc119926407"/>
      <w:bookmarkEnd w:id="115"/>
      <w:bookmarkStart w:id="116" w:name="_Toc119926425"/>
      <w:bookmarkEnd w:id="116"/>
      <w:bookmarkStart w:id="117" w:name="_Toc119926332"/>
      <w:bookmarkEnd w:id="117"/>
      <w:bookmarkStart w:id="118" w:name="_Toc119926418"/>
      <w:bookmarkEnd w:id="118"/>
      <w:bookmarkStart w:id="119" w:name="_Toc119926422"/>
      <w:bookmarkEnd w:id="119"/>
      <w:bookmarkStart w:id="120" w:name="_Toc119926311"/>
      <w:bookmarkEnd w:id="120"/>
      <w:bookmarkStart w:id="121" w:name="_Toc119926312"/>
      <w:bookmarkEnd w:id="121"/>
      <w:bookmarkStart w:id="122" w:name="_Toc119926320"/>
      <w:bookmarkEnd w:id="122"/>
      <w:bookmarkStart w:id="123" w:name="_Toc119926330"/>
      <w:bookmarkEnd w:id="123"/>
      <w:bookmarkStart w:id="124" w:name="_Toc119926431"/>
      <w:bookmarkEnd w:id="124"/>
      <w:bookmarkStart w:id="125" w:name="_Toc119926420"/>
      <w:bookmarkEnd w:id="125"/>
      <w:bookmarkStart w:id="126" w:name="_Toc119926333"/>
      <w:bookmarkEnd w:id="126"/>
      <w:bookmarkStart w:id="127" w:name="_Toc119926424"/>
      <w:bookmarkEnd w:id="127"/>
      <w:bookmarkStart w:id="128" w:name="_Toc119926416"/>
      <w:bookmarkEnd w:id="128"/>
      <w:bookmarkStart w:id="129" w:name="_Toc119926415"/>
      <w:bookmarkEnd w:id="129"/>
      <w:bookmarkStart w:id="130" w:name="_Toc119926339"/>
      <w:bookmarkEnd w:id="130"/>
      <w:bookmarkStart w:id="131" w:name="_Toc119926307"/>
      <w:bookmarkEnd w:id="131"/>
      <w:bookmarkStart w:id="132" w:name="_Toc119926314"/>
      <w:bookmarkEnd w:id="132"/>
      <w:bookmarkStart w:id="133" w:name="_Toc119926344"/>
      <w:bookmarkEnd w:id="133"/>
      <w:bookmarkStart w:id="134" w:name="_Toc119926419"/>
      <w:bookmarkEnd w:id="134"/>
      <w:bookmarkStart w:id="135" w:name="_Toc119926313"/>
      <w:bookmarkEnd w:id="135"/>
      <w:bookmarkStart w:id="136" w:name="_Toc119926414"/>
      <w:bookmarkEnd w:id="136"/>
      <w:bookmarkStart w:id="137" w:name="_Toc119926315"/>
      <w:bookmarkEnd w:id="137"/>
      <w:bookmarkStart w:id="138" w:name="_Toc119926413"/>
      <w:bookmarkEnd w:id="138"/>
      <w:bookmarkStart w:id="139" w:name="_Toc119926412"/>
      <w:bookmarkEnd w:id="139"/>
      <w:bookmarkStart w:id="140" w:name="_Toc119926439"/>
      <w:bookmarkEnd w:id="140"/>
      <w:bookmarkStart w:id="141" w:name="_Toc119926408"/>
      <w:bookmarkEnd w:id="141"/>
      <w:bookmarkStart w:id="142" w:name="_Toc119926426"/>
      <w:bookmarkEnd w:id="142"/>
      <w:bookmarkStart w:id="143" w:name="_Toc119926318"/>
      <w:bookmarkEnd w:id="143"/>
      <w:bookmarkStart w:id="144" w:name="_Toc119926327"/>
      <w:bookmarkEnd w:id="144"/>
      <w:bookmarkStart w:id="145" w:name="_Toc119926434"/>
      <w:bookmarkEnd w:id="145"/>
      <w:bookmarkStart w:id="146" w:name="_Toc119926326"/>
      <w:bookmarkEnd w:id="146"/>
      <w:bookmarkStart w:id="147" w:name="_Toc119926433"/>
      <w:bookmarkEnd w:id="147"/>
      <w:bookmarkStart w:id="148" w:name="_Toc119926447"/>
      <w:bookmarkEnd w:id="148"/>
      <w:bookmarkStart w:id="149" w:name="_Toc119926441"/>
      <w:bookmarkEnd w:id="149"/>
      <w:bookmarkStart w:id="150" w:name="_Toc119926421"/>
      <w:bookmarkEnd w:id="150"/>
      <w:bookmarkStart w:id="151" w:name="_Toc119926429"/>
      <w:bookmarkEnd w:id="151"/>
      <w:bookmarkStart w:id="152" w:name="_Toc119926423"/>
      <w:bookmarkEnd w:id="152"/>
      <w:bookmarkStart w:id="153" w:name="_Toc119926336"/>
      <w:bookmarkEnd w:id="153"/>
      <w:bookmarkStart w:id="154" w:name="_Toc119926445"/>
      <w:bookmarkEnd w:id="154"/>
      <w:bookmarkStart w:id="155" w:name="_Toc119926325"/>
      <w:bookmarkEnd w:id="155"/>
      <w:bookmarkStart w:id="156" w:name="_Toc119926443"/>
      <w:bookmarkEnd w:id="156"/>
      <w:bookmarkStart w:id="157" w:name="_Toc119926304"/>
      <w:bookmarkEnd w:id="157"/>
      <w:bookmarkStart w:id="158" w:name="_Toc119926345"/>
      <w:bookmarkEnd w:id="158"/>
      <w:bookmarkStart w:id="159" w:name="_Toc119926430"/>
      <w:bookmarkEnd w:id="159"/>
      <w:bookmarkStart w:id="160" w:name="_Toc119926451"/>
      <w:bookmarkEnd w:id="160"/>
      <w:bookmarkStart w:id="161" w:name="_Toc119926450"/>
      <w:bookmarkEnd w:id="161"/>
      <w:bookmarkStart w:id="162" w:name="_Toc119926432"/>
      <w:bookmarkEnd w:id="162"/>
      <w:bookmarkStart w:id="163" w:name="_Toc119926409"/>
      <w:bookmarkEnd w:id="163"/>
      <w:bookmarkStart w:id="164" w:name="_Toc119926436"/>
      <w:bookmarkEnd w:id="164"/>
      <w:bookmarkStart w:id="165" w:name="_Toc119926331"/>
      <w:bookmarkEnd w:id="165"/>
      <w:bookmarkStart w:id="166" w:name="_Toc119926427"/>
      <w:bookmarkEnd w:id="166"/>
      <w:bookmarkStart w:id="167" w:name="_Toc119926448"/>
      <w:bookmarkEnd w:id="167"/>
      <w:bookmarkStart w:id="168" w:name="_Toc119926306"/>
      <w:bookmarkEnd w:id="168"/>
      <w:bookmarkStart w:id="169" w:name="_Toc119926322"/>
      <w:bookmarkEnd w:id="169"/>
      <w:bookmarkStart w:id="170" w:name="_Toc119926309"/>
      <w:bookmarkEnd w:id="170"/>
      <w:bookmarkStart w:id="171" w:name="_Toc119926337"/>
      <w:bookmarkEnd w:id="171"/>
      <w:bookmarkStart w:id="172" w:name="_Toc119926435"/>
      <w:bookmarkEnd w:id="172"/>
    </w:p>
    <w:p w14:paraId="68F5D52D">
      <w:pPr>
        <w:pStyle w:val="44"/>
        <w:spacing w:before="156" w:after="156"/>
        <w:ind w:left="0"/>
      </w:pPr>
      <w:r>
        <w:t>批次</w:t>
      </w:r>
      <w:r>
        <w:rPr>
          <w:rFonts w:hint="eastAsia"/>
        </w:rPr>
        <w:t>定义</w:t>
      </w:r>
    </w:p>
    <w:p w14:paraId="3A002000">
      <w:pPr>
        <w:pStyle w:val="26"/>
      </w:pPr>
      <w:r>
        <w:t>石墨</w:t>
      </w:r>
      <w:r>
        <w:rPr>
          <w:rFonts w:hint="eastAsia"/>
        </w:rPr>
        <w:t>材料检查中：</w:t>
      </w:r>
    </w:p>
    <w:p w14:paraId="31D8751F">
      <w:pPr>
        <w:pStyle w:val="26"/>
        <w:numPr>
          <w:ilvl w:val="0"/>
          <w:numId w:val="19"/>
        </w:numPr>
        <w:ind w:firstLineChars="0"/>
      </w:pPr>
      <w:r>
        <w:rPr>
          <w:rFonts w:hint="eastAsia"/>
        </w:rPr>
        <w:t>石墨材料在生产过程中同一个石墨化炉所生产为一批；</w:t>
      </w:r>
    </w:p>
    <w:p w14:paraId="5811E6EC">
      <w:pPr>
        <w:pStyle w:val="26"/>
        <w:numPr>
          <w:ilvl w:val="0"/>
          <w:numId w:val="19"/>
        </w:numPr>
        <w:ind w:firstLineChars="0"/>
      </w:pPr>
      <w:r>
        <w:rPr>
          <w:rFonts w:hint="eastAsia"/>
        </w:rPr>
        <w:t>石墨材料成分分析应以同一纯化炉的产品作为一批</w:t>
      </w:r>
      <w:r>
        <w:t>。</w:t>
      </w:r>
    </w:p>
    <w:p w14:paraId="41D4E292">
      <w:pPr>
        <w:pStyle w:val="44"/>
        <w:spacing w:before="156" w:after="156"/>
        <w:ind w:left="0"/>
      </w:pPr>
      <w:r>
        <w:t>验收文件</w:t>
      </w:r>
    </w:p>
    <w:p w14:paraId="1F04D807">
      <w:pPr>
        <w:pStyle w:val="26"/>
      </w:pPr>
      <w:r>
        <w:rPr>
          <w:rFonts w:hint="eastAsia"/>
        </w:rPr>
        <w:t>生产厂家在进行验收检查前应提供下列文件：</w:t>
      </w:r>
    </w:p>
    <w:p w14:paraId="17E047FB">
      <w:pPr>
        <w:pStyle w:val="26"/>
        <w:numPr>
          <w:ilvl w:val="0"/>
          <w:numId w:val="20"/>
        </w:numPr>
        <w:ind w:firstLineChars="0"/>
      </w:pPr>
      <w:bookmarkStart w:id="173" w:name="OLE_LINK9"/>
      <w:r>
        <w:rPr>
          <w:rFonts w:hint="eastAsia"/>
        </w:rPr>
        <w:t>主要生产工艺和控制参数的记录；</w:t>
      </w:r>
    </w:p>
    <w:bookmarkEnd w:id="173"/>
    <w:p w14:paraId="12362DF2">
      <w:pPr>
        <w:pStyle w:val="26"/>
        <w:numPr>
          <w:ilvl w:val="0"/>
          <w:numId w:val="20"/>
        </w:numPr>
        <w:ind w:firstLineChars="0"/>
      </w:pPr>
      <w:r>
        <w:rPr>
          <w:rFonts w:hint="eastAsia"/>
        </w:rPr>
        <w:t>产品名称、生产日期；</w:t>
      </w:r>
    </w:p>
    <w:p w14:paraId="438D5483">
      <w:pPr>
        <w:pStyle w:val="26"/>
        <w:numPr>
          <w:ilvl w:val="0"/>
          <w:numId w:val="20"/>
        </w:numPr>
        <w:ind w:firstLineChars="0"/>
      </w:pPr>
      <w:r>
        <w:rPr>
          <w:rFonts w:hint="eastAsia"/>
        </w:rPr>
        <w:t xml:space="preserve">产品尺寸、数量； </w:t>
      </w:r>
    </w:p>
    <w:p w14:paraId="1FEFF6E4">
      <w:pPr>
        <w:pStyle w:val="26"/>
        <w:numPr>
          <w:ilvl w:val="0"/>
          <w:numId w:val="20"/>
        </w:numPr>
        <w:ind w:firstLineChars="0"/>
      </w:pPr>
      <w:r>
        <w:rPr>
          <w:rFonts w:hint="eastAsia"/>
        </w:rPr>
        <w:t>批号、块号；</w:t>
      </w:r>
    </w:p>
    <w:p w14:paraId="53DF3F60">
      <w:pPr>
        <w:pStyle w:val="26"/>
        <w:numPr>
          <w:ilvl w:val="0"/>
          <w:numId w:val="20"/>
        </w:numPr>
        <w:ind w:firstLineChars="0"/>
      </w:pPr>
      <w:r>
        <w:rPr>
          <w:rFonts w:hint="eastAsia"/>
        </w:rPr>
        <w:t>技术规格书中规定的性能和成份的检查数据与采用的标准。</w:t>
      </w:r>
    </w:p>
    <w:p w14:paraId="368F28B5">
      <w:pPr>
        <w:pStyle w:val="44"/>
        <w:spacing w:before="156" w:after="156"/>
        <w:ind w:left="0"/>
      </w:pPr>
      <w:r>
        <w:rPr>
          <w:rFonts w:hint="eastAsia"/>
        </w:rPr>
        <w:t>验收结论</w:t>
      </w:r>
    </w:p>
    <w:p w14:paraId="2D1971A2">
      <w:pPr>
        <w:pStyle w:val="155"/>
        <w:spacing w:before="156" w:after="156"/>
        <w:ind w:left="0" w:firstLine="0"/>
      </w:pPr>
      <w:r>
        <w:rPr>
          <w:rFonts w:hint="eastAsia"/>
        </w:rPr>
        <w:t>凡是所规定检验的性能指标达到验收标准的石墨批次，其整批石墨被判为合格，予以预验收。</w:t>
      </w:r>
    </w:p>
    <w:p w14:paraId="44293170">
      <w:pPr>
        <w:pStyle w:val="155"/>
        <w:spacing w:before="156" w:after="156"/>
        <w:ind w:left="0" w:firstLine="0"/>
      </w:pPr>
      <w:r>
        <w:rPr>
          <w:rFonts w:hint="eastAsia"/>
        </w:rPr>
        <w:t>凡是未达到验收标准的石墨批次，其整批石墨被判为不合格，不得作为合格品向订货方发货。</w:t>
      </w:r>
    </w:p>
    <w:p w14:paraId="7B5A6A81">
      <w:pPr>
        <w:pStyle w:val="47"/>
        <w:spacing w:before="312" w:after="312"/>
        <w:ind w:left="0"/>
        <w:rPr>
          <w:szCs w:val="21"/>
        </w:rPr>
      </w:pPr>
      <w:bookmarkStart w:id="174" w:name="_Toc220749614"/>
      <w:r>
        <w:rPr>
          <w:rFonts w:hint="eastAsia"/>
          <w:szCs w:val="21"/>
        </w:rPr>
        <w:t>包装和运输</w:t>
      </w:r>
      <w:bookmarkEnd w:id="174"/>
    </w:p>
    <w:p w14:paraId="56B4C861">
      <w:pPr>
        <w:pStyle w:val="44"/>
        <w:spacing w:before="156" w:after="156"/>
        <w:ind w:left="0"/>
      </w:pPr>
      <w:r>
        <w:rPr>
          <w:rFonts w:hint="eastAsia"/>
        </w:rPr>
        <w:t>包装</w:t>
      </w:r>
    </w:p>
    <w:p w14:paraId="70781245">
      <w:pPr>
        <w:pStyle w:val="155"/>
        <w:spacing w:before="156" w:after="156"/>
        <w:ind w:left="0" w:firstLine="0"/>
      </w:pPr>
      <w:r>
        <w:rPr>
          <w:rFonts w:hint="eastAsia"/>
        </w:rPr>
        <w:t>包装应在反射层石墨材料验收检查合格后进行。</w:t>
      </w:r>
    </w:p>
    <w:p w14:paraId="4961C386">
      <w:pPr>
        <w:pStyle w:val="155"/>
        <w:spacing w:before="156" w:after="156"/>
        <w:ind w:left="0" w:firstLine="0"/>
      </w:pPr>
      <w:r>
        <w:rPr>
          <w:rFonts w:hint="eastAsia"/>
        </w:rPr>
        <w:t>包装箱的制造应满足运输、储存过程中的条件要求，且应具有防潮、防震、防尘、防污染措施。</w:t>
      </w:r>
    </w:p>
    <w:p w14:paraId="4696B93B">
      <w:pPr>
        <w:pStyle w:val="155"/>
        <w:spacing w:before="156" w:after="156"/>
        <w:ind w:left="0" w:firstLine="0"/>
      </w:pPr>
      <w:r>
        <w:rPr>
          <w:rFonts w:hint="eastAsia"/>
        </w:rPr>
        <w:t>每个包装箱中应附有石墨坯件数量、生产批次、块号的标志等信息，且不应对石墨坯件造成玷污。</w:t>
      </w:r>
    </w:p>
    <w:p w14:paraId="1F4CE633">
      <w:pPr>
        <w:pStyle w:val="44"/>
        <w:spacing w:before="156" w:after="156"/>
        <w:ind w:left="0"/>
      </w:pPr>
      <w:r>
        <w:rPr>
          <w:rFonts w:hint="eastAsia"/>
        </w:rPr>
        <w:t>运输</w:t>
      </w:r>
    </w:p>
    <w:p w14:paraId="6427FD3B">
      <w:pPr>
        <w:pStyle w:val="155"/>
        <w:spacing w:before="156" w:after="156"/>
        <w:ind w:left="0" w:firstLine="0"/>
      </w:pPr>
      <w:r>
        <w:rPr>
          <w:rFonts w:hint="eastAsia"/>
        </w:rPr>
        <w:t>运输过程中，装卸应防止石墨的碰撞和摔落，还应满足运输过程中对产品保护的要求，厂家应承担包装运输过程导致产品损伤的相应责任。</w:t>
      </w:r>
    </w:p>
    <w:p w14:paraId="6D2A9DF1">
      <w:pPr>
        <w:pStyle w:val="155"/>
        <w:spacing w:before="156" w:after="156"/>
      </w:pPr>
      <w:r>
        <w:pict>
          <v:line id="_x0000_s3074" o:spid="_x0000_s3074" o:spt="20" style="position:absolute;left:0pt;margin-left:162pt;margin-top:66.5pt;height:0pt;width:118.25pt;z-index:251662336;mso-width-relative:page;mso-height-relative:page;" stroked="t" coordsize="21600,21600" o:gfxdata="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IW+4p9oAAAALAQAADwAAAAAAAAABACAAAAAiAAAAZHJzL2Rvd25yZXYueG1sUEsB&#10;AhQAFAAAAAgAh07iQDW5iIbzAQAAwgMAAA4AAAAAAAAAAQAgAAAAKQEAAGRycy9lMm9Eb2MueG1s&#10;UEsFBgAAAAAGAAYAWQEAAI4FAAAAAA==&#10;">
            <v:path arrowok="t"/>
            <v:fill focussize="0,0"/>
            <v:stroke weight="1pt" color="#000000" joinstyle="miter"/>
            <v:imagedata o:title=""/>
            <o:lock v:ext="edit"/>
          </v:line>
        </w:pict>
      </w:r>
      <w:r>
        <w:rPr>
          <w:rFonts w:hint="eastAsia"/>
        </w:rPr>
        <w:t>运输过程中所发生的重大事故应记录在案。</w:t>
      </w:r>
    </w:p>
    <w:sectPr>
      <w:footerReference r:id="rId7" w:type="default"/>
      <w:pgSz w:w="11906" w:h="16838"/>
      <w:pgMar w:top="1134" w:right="1417" w:bottom="567" w:left="1134" w:header="1418" w:footer="1134" w:gutter="0"/>
      <w:pgNumType w:start="1"/>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仿宋体">
    <w:altName w:val="宋体"/>
    <w:panose1 w:val="00000000000000000000"/>
    <w:charset w:val="86"/>
    <w:family w:val="roma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F4EC1">
    <w:pPr>
      <w:pStyle w:val="70"/>
      <w:jc w:val="center"/>
    </w:pPr>
    <w:r>
      <w:fldChar w:fldCharType="begin"/>
    </w:r>
    <w:r>
      <w:instrText xml:space="preserve"> PAGE  \* MERGEFORMAT </w:instrText>
    </w:r>
    <w:r>
      <w:fldChar w:fldCharType="separate"/>
    </w:r>
    <w: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A3FAD">
    <w:pPr>
      <w:pStyle w:val="45"/>
    </w:pPr>
    <w:r>
      <w:fldChar w:fldCharType="begin"/>
    </w:r>
    <w:r>
      <w:instrText xml:space="preserve"> PAGE  \* MERGEFORMAT </w:instrText>
    </w:r>
    <w:r>
      <w:fldChar w:fldCharType="separate"/>
    </w:r>
    <w:r>
      <w:t>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EBD10">
    <w:pPr>
      <w:pStyle w:val="20"/>
      <w:jc w:val="center"/>
    </w:pPr>
    <w:r>
      <w:rPr>
        <w:rStyle w:val="39"/>
      </w:rPr>
      <w:fldChar w:fldCharType="begin"/>
    </w:r>
    <w:r>
      <w:rPr>
        <w:rStyle w:val="39"/>
      </w:rPr>
      <w:instrText xml:space="preserve"> PAGE </w:instrText>
    </w:r>
    <w:r>
      <w:rPr>
        <w:rStyle w:val="39"/>
      </w:rPr>
      <w:fldChar w:fldCharType="separate"/>
    </w:r>
    <w:r>
      <w:rPr>
        <w:rStyle w:val="39"/>
      </w:rPr>
      <w:t>3</w:t>
    </w:r>
    <w:r>
      <w:rPr>
        <w:rStyle w:val="39"/>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635DE0">
    <w:pPr>
      <w:pStyle w:val="71"/>
    </w:pPr>
    <w:r>
      <w:rPr>
        <w:rFonts w:hint="eastAsia"/>
      </w:rPr>
      <w:t>T</w:t>
    </w:r>
    <w:r>
      <w:t>/</w:t>
    </w:r>
    <w:r>
      <w:rPr>
        <w:rFonts w:hint="eastAsia"/>
      </w:rPr>
      <w:t>CNS</w:t>
    </w:r>
    <w:r>
      <w:t xml:space="preserve"> 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C0C02">
    <w:pPr>
      <w:pStyle w:val="46"/>
    </w:pPr>
    <w:r>
      <w:rPr>
        <w:rFonts w:hint="eastAsia"/>
      </w:rPr>
      <w:t>T</w:t>
    </w:r>
    <w:r>
      <w:t>/</w:t>
    </w:r>
    <w:r>
      <w:rPr>
        <w:rFonts w:hint="eastAsia"/>
      </w:rPr>
      <w:t>CNS</w:t>
    </w:r>
    <w:r>
      <w:t xml:space="preserve">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60"/>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18"/>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54"/>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123"/>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67"/>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47"/>
      <w:suff w:val="nothing"/>
      <w:lvlText w:val="%1　"/>
      <w:lvlJc w:val="left"/>
      <w:pPr>
        <w:ind w:left="993" w:firstLine="0"/>
      </w:pPr>
      <w:rPr>
        <w:rFonts w:hint="eastAsia" w:ascii="黑体" w:hAnsi="Times New Roman" w:eastAsia="黑体"/>
        <w:b w:val="0"/>
        <w:i w:val="0"/>
        <w:sz w:val="21"/>
        <w:szCs w:val="21"/>
      </w:rPr>
    </w:lvl>
    <w:lvl w:ilvl="1" w:tentative="0">
      <w:start w:val="1"/>
      <w:numFmt w:val="decimal"/>
      <w:pStyle w:val="44"/>
      <w:suff w:val="nothing"/>
      <w:lvlText w:val="%1.%2　"/>
      <w:lvlJc w:val="left"/>
      <w:pPr>
        <w:ind w:left="-282"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48"/>
      <w:suff w:val="nothing"/>
      <w:lvlText w:val="%1.%2.%3　"/>
      <w:lvlJc w:val="left"/>
      <w:pPr>
        <w:ind w:left="-1417" w:firstLine="1417"/>
      </w:pPr>
      <w:rPr>
        <w:rFonts w:hint="eastAsia" w:ascii="黑体" w:hAnsi="Times New Roman" w:eastAsia="黑体"/>
        <w:b w:val="0"/>
        <w:i w:val="0"/>
        <w:sz w:val="21"/>
      </w:rPr>
    </w:lvl>
    <w:lvl w:ilvl="3" w:tentative="0">
      <w:start w:val="1"/>
      <w:numFmt w:val="decimal"/>
      <w:pStyle w:val="53"/>
      <w:suff w:val="nothing"/>
      <w:lvlText w:val="%1.%2.%3.%4　"/>
      <w:lvlJc w:val="left"/>
      <w:pPr>
        <w:ind w:left="-1417" w:firstLine="0"/>
      </w:pPr>
      <w:rPr>
        <w:rFonts w:hint="eastAsia" w:ascii="黑体" w:hAnsi="Times New Roman" w:eastAsia="黑体"/>
        <w:b w:val="0"/>
        <w:i w:val="0"/>
        <w:sz w:val="21"/>
      </w:rPr>
    </w:lvl>
    <w:lvl w:ilvl="4" w:tentative="0">
      <w:start w:val="1"/>
      <w:numFmt w:val="decimal"/>
      <w:pStyle w:val="57"/>
      <w:suff w:val="nothing"/>
      <w:lvlText w:val="%1.%2.%3.%4.%5　"/>
      <w:lvlJc w:val="left"/>
      <w:pPr>
        <w:ind w:left="0" w:hanging="1417"/>
      </w:pPr>
      <w:rPr>
        <w:rFonts w:hint="eastAsia" w:ascii="黑体" w:hAnsi="Times New Roman" w:eastAsia="黑体"/>
        <w:b w:val="0"/>
        <w:i w:val="0"/>
        <w:sz w:val="21"/>
      </w:rPr>
    </w:lvl>
    <w:lvl w:ilvl="5" w:tentative="0">
      <w:start w:val="1"/>
      <w:numFmt w:val="decimal"/>
      <w:pStyle w:val="58"/>
      <w:suff w:val="nothing"/>
      <w:lvlText w:val="%1.%2.%3.%4.%5.%6　"/>
      <w:lvlJc w:val="left"/>
      <w:pPr>
        <w:ind w:left="-1417" w:firstLine="0"/>
      </w:pPr>
      <w:rPr>
        <w:rFonts w:hint="eastAsia" w:ascii="黑体" w:hAnsi="Times New Roman" w:eastAsia="黑体"/>
        <w:b w:val="0"/>
        <w:i w:val="0"/>
        <w:sz w:val="21"/>
      </w:rPr>
    </w:lvl>
    <w:lvl w:ilvl="6" w:tentative="0">
      <w:start w:val="1"/>
      <w:numFmt w:val="decimal"/>
      <w:suff w:val="nothing"/>
      <w:lvlText w:val="%1%2.%3.%4.%5.%6.%7　"/>
      <w:lvlJc w:val="left"/>
      <w:pPr>
        <w:ind w:left="-1417" w:firstLine="0"/>
      </w:pPr>
      <w:rPr>
        <w:rFonts w:hint="eastAsia" w:ascii="黑体" w:hAnsi="Times New Roman" w:eastAsia="黑体"/>
        <w:b w:val="0"/>
        <w:i w:val="0"/>
        <w:sz w:val="21"/>
      </w:rPr>
    </w:lvl>
    <w:lvl w:ilvl="7" w:tentative="0">
      <w:start w:val="1"/>
      <w:numFmt w:val="decimal"/>
      <w:lvlText w:val="%1.%2.%3.%4.%5.%6.%7.%8"/>
      <w:lvlJc w:val="left"/>
      <w:pPr>
        <w:tabs>
          <w:tab w:val="left" w:pos="2934"/>
        </w:tabs>
        <w:ind w:left="2552" w:hanging="1418"/>
      </w:pPr>
      <w:rPr>
        <w:rFonts w:hint="eastAsia"/>
      </w:rPr>
    </w:lvl>
    <w:lvl w:ilvl="8" w:tentative="0">
      <w:start w:val="1"/>
      <w:numFmt w:val="decimal"/>
      <w:lvlText w:val="%1.%2.%3.%4.%5.%6.%7.%8.%9"/>
      <w:lvlJc w:val="left"/>
      <w:pPr>
        <w:tabs>
          <w:tab w:val="left" w:pos="3360"/>
        </w:tabs>
        <w:ind w:left="3260" w:hanging="1700"/>
      </w:pPr>
      <w:rPr>
        <w:rFonts w:hint="eastAsia"/>
      </w:rPr>
    </w:lvl>
  </w:abstractNum>
  <w:abstractNum w:abstractNumId="6">
    <w:nsid w:val="2531728E"/>
    <w:multiLevelType w:val="multilevel"/>
    <w:tmpl w:val="2531728E"/>
    <w:lvl w:ilvl="0" w:tentative="0">
      <w:start w:val="1"/>
      <w:numFmt w:val="lowerLetter"/>
      <w:lvlText w:val="%1)"/>
      <w:lvlJc w:val="left"/>
      <w:pPr>
        <w:ind w:left="860" w:hanging="440"/>
      </w:p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7">
    <w:nsid w:val="2A8F7113"/>
    <w:multiLevelType w:val="multilevel"/>
    <w:tmpl w:val="2A8F7113"/>
    <w:lvl w:ilvl="0" w:tentative="0">
      <w:start w:val="1"/>
      <w:numFmt w:val="upperLetter"/>
      <w:pStyle w:val="100"/>
      <w:suff w:val="space"/>
      <w:lvlText w:val="%1"/>
      <w:lvlJc w:val="left"/>
      <w:pPr>
        <w:ind w:left="623" w:hanging="425"/>
      </w:pPr>
      <w:rPr>
        <w:rFonts w:hint="eastAsia"/>
      </w:rPr>
    </w:lvl>
    <w:lvl w:ilvl="1" w:tentative="0">
      <w:start w:val="1"/>
      <w:numFmt w:val="decimal"/>
      <w:pStyle w:val="101"/>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8">
    <w:nsid w:val="2C5917C3"/>
    <w:multiLevelType w:val="multilevel"/>
    <w:tmpl w:val="2C5917C3"/>
    <w:lvl w:ilvl="0" w:tentative="0">
      <w:start w:val="1"/>
      <w:numFmt w:val="none"/>
      <w:pStyle w:val="50"/>
      <w:suff w:val="nothing"/>
      <w:lvlText w:val="%1——"/>
      <w:lvlJc w:val="left"/>
      <w:pPr>
        <w:ind w:left="833" w:hanging="408"/>
      </w:pPr>
      <w:rPr>
        <w:rFonts w:hint="eastAsia"/>
      </w:rPr>
    </w:lvl>
    <w:lvl w:ilvl="1" w:tentative="0">
      <w:start w:val="1"/>
      <w:numFmt w:val="bullet"/>
      <w:pStyle w:val="51"/>
      <w:lvlText w:val=""/>
      <w:lvlJc w:val="left"/>
      <w:pPr>
        <w:tabs>
          <w:tab w:val="left" w:pos="760"/>
        </w:tabs>
        <w:ind w:left="1264" w:hanging="413"/>
      </w:pPr>
      <w:rPr>
        <w:rFonts w:hint="default" w:ascii="Symbol" w:hAnsi="Symbol"/>
        <w:color w:val="auto"/>
      </w:rPr>
    </w:lvl>
    <w:lvl w:ilvl="2" w:tentative="0">
      <w:start w:val="1"/>
      <w:numFmt w:val="bullet"/>
      <w:pStyle w:val="62"/>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9">
    <w:nsid w:val="3659B107"/>
    <w:multiLevelType w:val="multilevel"/>
    <w:tmpl w:val="3659B107"/>
    <w:lvl w:ilvl="0" w:tentative="0">
      <w:start w:val="1"/>
      <w:numFmt w:val="lowerLetter"/>
      <w:lvlText w:val="%1)"/>
      <w:lvlJc w:val="left"/>
      <w:pPr>
        <w:ind w:left="860" w:hanging="440"/>
      </w:p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10">
    <w:nsid w:val="37834E9A"/>
    <w:multiLevelType w:val="multilevel"/>
    <w:tmpl w:val="37834E9A"/>
    <w:lvl w:ilvl="0" w:tentative="0">
      <w:start w:val="1"/>
      <w:numFmt w:val="lowerLetter"/>
      <w:lvlText w:val="%1)"/>
      <w:lvlJc w:val="left"/>
      <w:pPr>
        <w:ind w:left="860" w:hanging="440"/>
      </w:p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11">
    <w:nsid w:val="3D733618"/>
    <w:multiLevelType w:val="multilevel"/>
    <w:tmpl w:val="3D733618"/>
    <w:lvl w:ilvl="0" w:tentative="0">
      <w:start w:val="1"/>
      <w:numFmt w:val="decimal"/>
      <w:pStyle w:val="27"/>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2">
    <w:nsid w:val="44C50F90"/>
    <w:multiLevelType w:val="multilevel"/>
    <w:tmpl w:val="44C50F90"/>
    <w:lvl w:ilvl="0" w:tentative="0">
      <w:start w:val="1"/>
      <w:numFmt w:val="lowerLetter"/>
      <w:pStyle w:val="61"/>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6"/>
      <w:lvlText w:val="%2)"/>
      <w:lvlJc w:val="left"/>
      <w:pPr>
        <w:tabs>
          <w:tab w:val="left" w:pos="1260"/>
        </w:tabs>
        <w:ind w:left="1259" w:hanging="419"/>
      </w:pPr>
      <w:rPr>
        <w:rFonts w:hint="eastAsia"/>
      </w:rPr>
    </w:lvl>
    <w:lvl w:ilvl="2" w:tentative="0">
      <w:start w:val="1"/>
      <w:numFmt w:val="decimal"/>
      <w:pStyle w:val="63"/>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B733A5F"/>
    <w:multiLevelType w:val="multilevel"/>
    <w:tmpl w:val="4B733A5F"/>
    <w:lvl w:ilvl="0" w:tentative="0">
      <w:start w:val="1"/>
      <w:numFmt w:val="decimal"/>
      <w:pStyle w:val="64"/>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4">
    <w:nsid w:val="557C2AF5"/>
    <w:multiLevelType w:val="multilevel"/>
    <w:tmpl w:val="557C2AF5"/>
    <w:lvl w:ilvl="0" w:tentative="0">
      <w:start w:val="1"/>
      <w:numFmt w:val="decimal"/>
      <w:pStyle w:val="131"/>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60B55DC2"/>
    <w:multiLevelType w:val="multilevel"/>
    <w:tmpl w:val="60B55DC2"/>
    <w:lvl w:ilvl="0" w:tentative="0">
      <w:start w:val="1"/>
      <w:numFmt w:val="upperLetter"/>
      <w:pStyle w:val="88"/>
      <w:lvlText w:val="%1"/>
      <w:lvlJc w:val="left"/>
      <w:pPr>
        <w:tabs>
          <w:tab w:val="left" w:pos="0"/>
        </w:tabs>
        <w:ind w:left="0" w:hanging="425"/>
      </w:pPr>
      <w:rPr>
        <w:rFonts w:hint="eastAsia"/>
      </w:rPr>
    </w:lvl>
    <w:lvl w:ilvl="1" w:tentative="0">
      <w:start w:val="1"/>
      <w:numFmt w:val="decimal"/>
      <w:pStyle w:val="8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6">
    <w:nsid w:val="646260FA"/>
    <w:multiLevelType w:val="multilevel"/>
    <w:tmpl w:val="646260FA"/>
    <w:lvl w:ilvl="0" w:tentative="0">
      <w:start w:val="1"/>
      <w:numFmt w:val="decimal"/>
      <w:pStyle w:val="129"/>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657D3FBC"/>
    <w:multiLevelType w:val="multilevel"/>
    <w:tmpl w:val="657D3FBC"/>
    <w:lvl w:ilvl="0" w:tentative="0">
      <w:start w:val="1"/>
      <w:numFmt w:val="upperLetter"/>
      <w:pStyle w:val="8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5"/>
      <w:suff w:val="nothing"/>
      <w:lvlText w:val="%1.%2.%3　"/>
      <w:lvlJc w:val="left"/>
      <w:pPr>
        <w:ind w:left="0" w:firstLine="0"/>
      </w:pPr>
      <w:rPr>
        <w:rFonts w:hint="eastAsia" w:ascii="黑体" w:hAnsi="Times New Roman" w:eastAsia="黑体"/>
        <w:b w:val="0"/>
        <w:i w:val="0"/>
        <w:sz w:val="21"/>
      </w:rPr>
    </w:lvl>
    <w:lvl w:ilvl="3" w:tentative="0">
      <w:start w:val="1"/>
      <w:numFmt w:val="decimal"/>
      <w:pStyle w:val="90"/>
      <w:suff w:val="nothing"/>
      <w:lvlText w:val="%1.%2.%3.%4　"/>
      <w:lvlJc w:val="left"/>
      <w:pPr>
        <w:ind w:left="0" w:firstLine="0"/>
      </w:pPr>
      <w:rPr>
        <w:rFonts w:hint="eastAsia" w:ascii="黑体" w:hAnsi="Times New Roman" w:eastAsia="黑体"/>
        <w:b w:val="0"/>
        <w:i w:val="0"/>
        <w:sz w:val="21"/>
      </w:rPr>
    </w:lvl>
    <w:lvl w:ilvl="4" w:tentative="0">
      <w:start w:val="1"/>
      <w:numFmt w:val="decimal"/>
      <w:pStyle w:val="95"/>
      <w:suff w:val="nothing"/>
      <w:lvlText w:val="%1.%2.%3.%4.%5　"/>
      <w:lvlJc w:val="left"/>
      <w:pPr>
        <w:ind w:left="0" w:firstLine="0"/>
      </w:pPr>
      <w:rPr>
        <w:rFonts w:hint="eastAsia" w:ascii="黑体" w:hAnsi="Times New Roman" w:eastAsia="黑体"/>
        <w:b w:val="0"/>
        <w:i w:val="0"/>
        <w:sz w:val="21"/>
      </w:rPr>
    </w:lvl>
    <w:lvl w:ilvl="5" w:tentative="0">
      <w:start w:val="1"/>
      <w:numFmt w:val="decimal"/>
      <w:pStyle w:val="98"/>
      <w:suff w:val="nothing"/>
      <w:lvlText w:val="%1.%2.%3.%4.%5.%6　"/>
      <w:lvlJc w:val="left"/>
      <w:pPr>
        <w:ind w:left="0" w:firstLine="0"/>
      </w:pPr>
      <w:rPr>
        <w:rFonts w:hint="eastAsia" w:ascii="黑体" w:hAnsi="Times New Roman" w:eastAsia="黑体"/>
        <w:b w:val="0"/>
        <w:i w:val="0"/>
        <w:sz w:val="21"/>
      </w:rPr>
    </w:lvl>
    <w:lvl w:ilvl="6" w:tentative="0">
      <w:start w:val="1"/>
      <w:numFmt w:val="decimal"/>
      <w:pStyle w:val="10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8">
    <w:nsid w:val="6D6C07CD"/>
    <w:multiLevelType w:val="multilevel"/>
    <w:tmpl w:val="6D6C07CD"/>
    <w:lvl w:ilvl="0" w:tentative="0">
      <w:start w:val="1"/>
      <w:numFmt w:val="lowerLetter"/>
      <w:pStyle w:val="107"/>
      <w:lvlText w:val="%1)"/>
      <w:lvlJc w:val="left"/>
      <w:pPr>
        <w:tabs>
          <w:tab w:val="left" w:pos="839"/>
        </w:tabs>
        <w:ind w:left="839" w:hanging="419"/>
      </w:pPr>
      <w:rPr>
        <w:rFonts w:hint="eastAsia" w:ascii="宋体" w:eastAsia="宋体"/>
        <w:b w:val="0"/>
        <w:i w:val="0"/>
        <w:sz w:val="21"/>
      </w:rPr>
    </w:lvl>
    <w:lvl w:ilvl="1" w:tentative="0">
      <w:start w:val="1"/>
      <w:numFmt w:val="decimal"/>
      <w:pStyle w:val="97"/>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9">
    <w:nsid w:val="6DBF04F4"/>
    <w:multiLevelType w:val="multilevel"/>
    <w:tmpl w:val="6DBF04F4"/>
    <w:lvl w:ilvl="0" w:tentative="0">
      <w:start w:val="1"/>
      <w:numFmt w:val="none"/>
      <w:pStyle w:val="59"/>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1"/>
  </w:num>
  <w:num w:numId="2">
    <w:abstractNumId w:val="5"/>
  </w:num>
  <w:num w:numId="3">
    <w:abstractNumId w:val="8"/>
  </w:num>
  <w:num w:numId="4">
    <w:abstractNumId w:val="2"/>
  </w:num>
  <w:num w:numId="5">
    <w:abstractNumId w:val="12"/>
  </w:num>
  <w:num w:numId="6">
    <w:abstractNumId w:val="19"/>
  </w:num>
  <w:num w:numId="7">
    <w:abstractNumId w:val="0"/>
  </w:num>
  <w:num w:numId="8">
    <w:abstractNumId w:val="13"/>
  </w:num>
  <w:num w:numId="9">
    <w:abstractNumId w:val="4"/>
  </w:num>
  <w:num w:numId="10">
    <w:abstractNumId w:val="17"/>
  </w:num>
  <w:num w:numId="11">
    <w:abstractNumId w:val="15"/>
  </w:num>
  <w:num w:numId="12">
    <w:abstractNumId w:val="18"/>
  </w:num>
  <w:num w:numId="13">
    <w:abstractNumId w:val="7"/>
  </w:num>
  <w:num w:numId="14">
    <w:abstractNumId w:val="1"/>
  </w:num>
  <w:num w:numId="15">
    <w:abstractNumId w:val="3"/>
  </w:num>
  <w:num w:numId="16">
    <w:abstractNumId w:val="16"/>
  </w:num>
  <w:num w:numId="17">
    <w:abstractNumId w:val="14"/>
  </w:num>
  <w:num w:numId="18">
    <w:abstractNumId w:val="6"/>
  </w:num>
  <w:num w:numId="19">
    <w:abstractNumId w:val="10"/>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35925"/>
    <w:rsid w:val="00000244"/>
    <w:rsid w:val="0000185F"/>
    <w:rsid w:val="00001D16"/>
    <w:rsid w:val="0000497C"/>
    <w:rsid w:val="000053F2"/>
    <w:rsid w:val="0000586F"/>
    <w:rsid w:val="00010755"/>
    <w:rsid w:val="0001212A"/>
    <w:rsid w:val="00013D86"/>
    <w:rsid w:val="00013E02"/>
    <w:rsid w:val="00014639"/>
    <w:rsid w:val="0002143C"/>
    <w:rsid w:val="000234F7"/>
    <w:rsid w:val="00025A65"/>
    <w:rsid w:val="00026C31"/>
    <w:rsid w:val="00027280"/>
    <w:rsid w:val="000320A7"/>
    <w:rsid w:val="00035925"/>
    <w:rsid w:val="00040D19"/>
    <w:rsid w:val="00041490"/>
    <w:rsid w:val="000433A5"/>
    <w:rsid w:val="00045F88"/>
    <w:rsid w:val="00056328"/>
    <w:rsid w:val="00060954"/>
    <w:rsid w:val="00062BC8"/>
    <w:rsid w:val="000634E0"/>
    <w:rsid w:val="00063F38"/>
    <w:rsid w:val="0006539D"/>
    <w:rsid w:val="00067CDF"/>
    <w:rsid w:val="000724C8"/>
    <w:rsid w:val="00074FBE"/>
    <w:rsid w:val="00083A09"/>
    <w:rsid w:val="000843A6"/>
    <w:rsid w:val="00085AC1"/>
    <w:rsid w:val="0008627A"/>
    <w:rsid w:val="0009005E"/>
    <w:rsid w:val="00092857"/>
    <w:rsid w:val="00095EBC"/>
    <w:rsid w:val="00096DBE"/>
    <w:rsid w:val="000A0F8A"/>
    <w:rsid w:val="000A20A9"/>
    <w:rsid w:val="000A40E4"/>
    <w:rsid w:val="000A47FE"/>
    <w:rsid w:val="000A48B1"/>
    <w:rsid w:val="000B221D"/>
    <w:rsid w:val="000B3143"/>
    <w:rsid w:val="000B5F51"/>
    <w:rsid w:val="000B6513"/>
    <w:rsid w:val="000C3E60"/>
    <w:rsid w:val="000C6B05"/>
    <w:rsid w:val="000C6DD6"/>
    <w:rsid w:val="000C73D4"/>
    <w:rsid w:val="000C7457"/>
    <w:rsid w:val="000C7763"/>
    <w:rsid w:val="000D231D"/>
    <w:rsid w:val="000D2D8B"/>
    <w:rsid w:val="000D3384"/>
    <w:rsid w:val="000D3D4C"/>
    <w:rsid w:val="000D4F51"/>
    <w:rsid w:val="000D718B"/>
    <w:rsid w:val="000E0C46"/>
    <w:rsid w:val="000E15A4"/>
    <w:rsid w:val="000E206A"/>
    <w:rsid w:val="000E4AC0"/>
    <w:rsid w:val="000F030C"/>
    <w:rsid w:val="000F129C"/>
    <w:rsid w:val="000F5877"/>
    <w:rsid w:val="000F6DC3"/>
    <w:rsid w:val="00100E1A"/>
    <w:rsid w:val="001056DE"/>
    <w:rsid w:val="00105FC5"/>
    <w:rsid w:val="00107352"/>
    <w:rsid w:val="001112E2"/>
    <w:rsid w:val="001121E6"/>
    <w:rsid w:val="001124C0"/>
    <w:rsid w:val="00124246"/>
    <w:rsid w:val="00124FD9"/>
    <w:rsid w:val="00125566"/>
    <w:rsid w:val="00125D2E"/>
    <w:rsid w:val="00127D6A"/>
    <w:rsid w:val="0013175F"/>
    <w:rsid w:val="001337E4"/>
    <w:rsid w:val="00142335"/>
    <w:rsid w:val="001457F3"/>
    <w:rsid w:val="001512B4"/>
    <w:rsid w:val="001533FF"/>
    <w:rsid w:val="00155AF8"/>
    <w:rsid w:val="00160473"/>
    <w:rsid w:val="001620A5"/>
    <w:rsid w:val="00163EB8"/>
    <w:rsid w:val="00164E53"/>
    <w:rsid w:val="0016699D"/>
    <w:rsid w:val="0017178D"/>
    <w:rsid w:val="00173824"/>
    <w:rsid w:val="00175159"/>
    <w:rsid w:val="00175730"/>
    <w:rsid w:val="00175804"/>
    <w:rsid w:val="00176208"/>
    <w:rsid w:val="00177CA3"/>
    <w:rsid w:val="0018211B"/>
    <w:rsid w:val="00182CB9"/>
    <w:rsid w:val="001835E4"/>
    <w:rsid w:val="001840D3"/>
    <w:rsid w:val="00185CB1"/>
    <w:rsid w:val="001900F8"/>
    <w:rsid w:val="00191258"/>
    <w:rsid w:val="00192680"/>
    <w:rsid w:val="00192A65"/>
    <w:rsid w:val="00193037"/>
    <w:rsid w:val="00193195"/>
    <w:rsid w:val="00193A2C"/>
    <w:rsid w:val="001A288E"/>
    <w:rsid w:val="001A6D07"/>
    <w:rsid w:val="001B1489"/>
    <w:rsid w:val="001B3DA1"/>
    <w:rsid w:val="001B5060"/>
    <w:rsid w:val="001B59DE"/>
    <w:rsid w:val="001B6DC2"/>
    <w:rsid w:val="001C01D5"/>
    <w:rsid w:val="001C149C"/>
    <w:rsid w:val="001C21AC"/>
    <w:rsid w:val="001C40DC"/>
    <w:rsid w:val="001C47BA"/>
    <w:rsid w:val="001C59EA"/>
    <w:rsid w:val="001C6A8E"/>
    <w:rsid w:val="001D0A98"/>
    <w:rsid w:val="001D0D1F"/>
    <w:rsid w:val="001D2D13"/>
    <w:rsid w:val="001D406C"/>
    <w:rsid w:val="001D41EE"/>
    <w:rsid w:val="001D5849"/>
    <w:rsid w:val="001D5FD6"/>
    <w:rsid w:val="001D6ED0"/>
    <w:rsid w:val="001E0380"/>
    <w:rsid w:val="001E0566"/>
    <w:rsid w:val="001E13B1"/>
    <w:rsid w:val="001E618C"/>
    <w:rsid w:val="001F21F8"/>
    <w:rsid w:val="001F38AF"/>
    <w:rsid w:val="001F3A19"/>
    <w:rsid w:val="001F44A5"/>
    <w:rsid w:val="001F5889"/>
    <w:rsid w:val="00203EAA"/>
    <w:rsid w:val="00205C8A"/>
    <w:rsid w:val="0020745D"/>
    <w:rsid w:val="00207EEC"/>
    <w:rsid w:val="00213E9C"/>
    <w:rsid w:val="00215DEA"/>
    <w:rsid w:val="00217BA7"/>
    <w:rsid w:val="0022090A"/>
    <w:rsid w:val="00225980"/>
    <w:rsid w:val="002277DD"/>
    <w:rsid w:val="00227958"/>
    <w:rsid w:val="00232BF5"/>
    <w:rsid w:val="00234467"/>
    <w:rsid w:val="00237D8D"/>
    <w:rsid w:val="00241AD6"/>
    <w:rsid w:val="00241DA2"/>
    <w:rsid w:val="0024301D"/>
    <w:rsid w:val="00247FEE"/>
    <w:rsid w:val="00250E7D"/>
    <w:rsid w:val="00252124"/>
    <w:rsid w:val="00255FBF"/>
    <w:rsid w:val="002565D5"/>
    <w:rsid w:val="0025661C"/>
    <w:rsid w:val="00256BA5"/>
    <w:rsid w:val="002622C0"/>
    <w:rsid w:val="00263C64"/>
    <w:rsid w:val="00265C20"/>
    <w:rsid w:val="0026780D"/>
    <w:rsid w:val="002778AE"/>
    <w:rsid w:val="0028269A"/>
    <w:rsid w:val="00283590"/>
    <w:rsid w:val="00286973"/>
    <w:rsid w:val="00290A7C"/>
    <w:rsid w:val="00292203"/>
    <w:rsid w:val="00293CDD"/>
    <w:rsid w:val="00294E70"/>
    <w:rsid w:val="00295D13"/>
    <w:rsid w:val="002A10C1"/>
    <w:rsid w:val="002A1924"/>
    <w:rsid w:val="002A38F4"/>
    <w:rsid w:val="002A416B"/>
    <w:rsid w:val="002A7420"/>
    <w:rsid w:val="002B0F12"/>
    <w:rsid w:val="002B1308"/>
    <w:rsid w:val="002B1903"/>
    <w:rsid w:val="002B4554"/>
    <w:rsid w:val="002C3773"/>
    <w:rsid w:val="002C3FE1"/>
    <w:rsid w:val="002C4EE1"/>
    <w:rsid w:val="002C72D8"/>
    <w:rsid w:val="002D11FA"/>
    <w:rsid w:val="002D25CB"/>
    <w:rsid w:val="002D26FA"/>
    <w:rsid w:val="002E0DDF"/>
    <w:rsid w:val="002E1DF3"/>
    <w:rsid w:val="002E2906"/>
    <w:rsid w:val="002E5635"/>
    <w:rsid w:val="002E64C3"/>
    <w:rsid w:val="002E6A2C"/>
    <w:rsid w:val="002F1D8C"/>
    <w:rsid w:val="002F21DA"/>
    <w:rsid w:val="002F5DA0"/>
    <w:rsid w:val="002F7424"/>
    <w:rsid w:val="00301F39"/>
    <w:rsid w:val="003078BB"/>
    <w:rsid w:val="003129C4"/>
    <w:rsid w:val="00313C85"/>
    <w:rsid w:val="00320A15"/>
    <w:rsid w:val="003232DC"/>
    <w:rsid w:val="00324487"/>
    <w:rsid w:val="003244E9"/>
    <w:rsid w:val="00325926"/>
    <w:rsid w:val="00326451"/>
    <w:rsid w:val="00326619"/>
    <w:rsid w:val="0032699A"/>
    <w:rsid w:val="00327A8A"/>
    <w:rsid w:val="00330420"/>
    <w:rsid w:val="003331B1"/>
    <w:rsid w:val="00336610"/>
    <w:rsid w:val="00336E5A"/>
    <w:rsid w:val="0034042D"/>
    <w:rsid w:val="0034056D"/>
    <w:rsid w:val="00343F73"/>
    <w:rsid w:val="00344444"/>
    <w:rsid w:val="00345060"/>
    <w:rsid w:val="00345C75"/>
    <w:rsid w:val="0034606E"/>
    <w:rsid w:val="0035268D"/>
    <w:rsid w:val="0035323B"/>
    <w:rsid w:val="003609D2"/>
    <w:rsid w:val="00363F22"/>
    <w:rsid w:val="00366046"/>
    <w:rsid w:val="00366C12"/>
    <w:rsid w:val="00367F2A"/>
    <w:rsid w:val="00371DB1"/>
    <w:rsid w:val="0037409B"/>
    <w:rsid w:val="00374580"/>
    <w:rsid w:val="00374E0C"/>
    <w:rsid w:val="00375564"/>
    <w:rsid w:val="00377F97"/>
    <w:rsid w:val="0038264E"/>
    <w:rsid w:val="00383191"/>
    <w:rsid w:val="00386DED"/>
    <w:rsid w:val="003912E7"/>
    <w:rsid w:val="00391A30"/>
    <w:rsid w:val="00392F72"/>
    <w:rsid w:val="00393044"/>
    <w:rsid w:val="00393947"/>
    <w:rsid w:val="003A2275"/>
    <w:rsid w:val="003A5BB6"/>
    <w:rsid w:val="003A6A4F"/>
    <w:rsid w:val="003A6E20"/>
    <w:rsid w:val="003A6E63"/>
    <w:rsid w:val="003A7088"/>
    <w:rsid w:val="003B00DF"/>
    <w:rsid w:val="003B1275"/>
    <w:rsid w:val="003B1778"/>
    <w:rsid w:val="003B5ECB"/>
    <w:rsid w:val="003C11CB"/>
    <w:rsid w:val="003C1584"/>
    <w:rsid w:val="003C1A74"/>
    <w:rsid w:val="003C2142"/>
    <w:rsid w:val="003C75F3"/>
    <w:rsid w:val="003C78A3"/>
    <w:rsid w:val="003D3024"/>
    <w:rsid w:val="003D3771"/>
    <w:rsid w:val="003D5992"/>
    <w:rsid w:val="003D67E5"/>
    <w:rsid w:val="003D7F6C"/>
    <w:rsid w:val="003E1867"/>
    <w:rsid w:val="003E5729"/>
    <w:rsid w:val="003F14A8"/>
    <w:rsid w:val="003F4EE0"/>
    <w:rsid w:val="003F6307"/>
    <w:rsid w:val="00402153"/>
    <w:rsid w:val="00402FC1"/>
    <w:rsid w:val="0040385E"/>
    <w:rsid w:val="00403C93"/>
    <w:rsid w:val="0040444B"/>
    <w:rsid w:val="00415BBA"/>
    <w:rsid w:val="00415E21"/>
    <w:rsid w:val="00421D17"/>
    <w:rsid w:val="00422A36"/>
    <w:rsid w:val="00423F43"/>
    <w:rsid w:val="00425082"/>
    <w:rsid w:val="00427A2E"/>
    <w:rsid w:val="00430240"/>
    <w:rsid w:val="00431DEB"/>
    <w:rsid w:val="00433856"/>
    <w:rsid w:val="004344C9"/>
    <w:rsid w:val="00442748"/>
    <w:rsid w:val="004442F1"/>
    <w:rsid w:val="004464FB"/>
    <w:rsid w:val="00446B29"/>
    <w:rsid w:val="00453F9A"/>
    <w:rsid w:val="00455698"/>
    <w:rsid w:val="004633EA"/>
    <w:rsid w:val="00465870"/>
    <w:rsid w:val="004667C9"/>
    <w:rsid w:val="00470519"/>
    <w:rsid w:val="00471E91"/>
    <w:rsid w:val="00474675"/>
    <w:rsid w:val="0047470C"/>
    <w:rsid w:val="004754E1"/>
    <w:rsid w:val="00475903"/>
    <w:rsid w:val="00476113"/>
    <w:rsid w:val="004777F8"/>
    <w:rsid w:val="00485B2A"/>
    <w:rsid w:val="004913E1"/>
    <w:rsid w:val="00492952"/>
    <w:rsid w:val="004930F0"/>
    <w:rsid w:val="004933F5"/>
    <w:rsid w:val="00494391"/>
    <w:rsid w:val="004A03F8"/>
    <w:rsid w:val="004A35F9"/>
    <w:rsid w:val="004A5ADD"/>
    <w:rsid w:val="004B24C1"/>
    <w:rsid w:val="004B2AE2"/>
    <w:rsid w:val="004B3AD6"/>
    <w:rsid w:val="004B488E"/>
    <w:rsid w:val="004B5ABA"/>
    <w:rsid w:val="004C292F"/>
    <w:rsid w:val="004C5151"/>
    <w:rsid w:val="004C6BA4"/>
    <w:rsid w:val="004D1BFC"/>
    <w:rsid w:val="004D253C"/>
    <w:rsid w:val="004D468D"/>
    <w:rsid w:val="004D6309"/>
    <w:rsid w:val="004E3303"/>
    <w:rsid w:val="004E375E"/>
    <w:rsid w:val="004E5E50"/>
    <w:rsid w:val="004E6552"/>
    <w:rsid w:val="004E6AE5"/>
    <w:rsid w:val="004F682E"/>
    <w:rsid w:val="00500A95"/>
    <w:rsid w:val="00510280"/>
    <w:rsid w:val="00510638"/>
    <w:rsid w:val="0051196F"/>
    <w:rsid w:val="00513D73"/>
    <w:rsid w:val="00514A43"/>
    <w:rsid w:val="00514A67"/>
    <w:rsid w:val="005174E5"/>
    <w:rsid w:val="00522393"/>
    <w:rsid w:val="00522620"/>
    <w:rsid w:val="00523858"/>
    <w:rsid w:val="00525656"/>
    <w:rsid w:val="00534A30"/>
    <w:rsid w:val="00534C02"/>
    <w:rsid w:val="005364CD"/>
    <w:rsid w:val="005406D0"/>
    <w:rsid w:val="005410DA"/>
    <w:rsid w:val="0054264B"/>
    <w:rsid w:val="00542E2A"/>
    <w:rsid w:val="00543786"/>
    <w:rsid w:val="00552FDA"/>
    <w:rsid w:val="005533D7"/>
    <w:rsid w:val="00554CD0"/>
    <w:rsid w:val="00555DAC"/>
    <w:rsid w:val="005703DE"/>
    <w:rsid w:val="0057189D"/>
    <w:rsid w:val="0058464E"/>
    <w:rsid w:val="0058570A"/>
    <w:rsid w:val="00585824"/>
    <w:rsid w:val="00587FE6"/>
    <w:rsid w:val="00593A1A"/>
    <w:rsid w:val="00594059"/>
    <w:rsid w:val="00595D06"/>
    <w:rsid w:val="005A01CB"/>
    <w:rsid w:val="005A0385"/>
    <w:rsid w:val="005A28C7"/>
    <w:rsid w:val="005A4D03"/>
    <w:rsid w:val="005A58F1"/>
    <w:rsid w:val="005A58FF"/>
    <w:rsid w:val="005A5EAF"/>
    <w:rsid w:val="005A64C0"/>
    <w:rsid w:val="005B3C11"/>
    <w:rsid w:val="005B6487"/>
    <w:rsid w:val="005B77DE"/>
    <w:rsid w:val="005C1C28"/>
    <w:rsid w:val="005C4050"/>
    <w:rsid w:val="005C46F1"/>
    <w:rsid w:val="005C6DB5"/>
    <w:rsid w:val="005C7DEB"/>
    <w:rsid w:val="005D0051"/>
    <w:rsid w:val="005D0325"/>
    <w:rsid w:val="005D0ADA"/>
    <w:rsid w:val="005D2AB1"/>
    <w:rsid w:val="005D5ED3"/>
    <w:rsid w:val="005D7CEF"/>
    <w:rsid w:val="005E19E7"/>
    <w:rsid w:val="005E49E9"/>
    <w:rsid w:val="005F057C"/>
    <w:rsid w:val="005F6CF1"/>
    <w:rsid w:val="006022B1"/>
    <w:rsid w:val="00603844"/>
    <w:rsid w:val="00607294"/>
    <w:rsid w:val="0061092C"/>
    <w:rsid w:val="0061716C"/>
    <w:rsid w:val="0062409A"/>
    <w:rsid w:val="006243A1"/>
    <w:rsid w:val="0062693C"/>
    <w:rsid w:val="00626D36"/>
    <w:rsid w:val="00627B96"/>
    <w:rsid w:val="00627E7A"/>
    <w:rsid w:val="0063101D"/>
    <w:rsid w:val="00632E56"/>
    <w:rsid w:val="00633F6D"/>
    <w:rsid w:val="00635482"/>
    <w:rsid w:val="00635CBA"/>
    <w:rsid w:val="006361E7"/>
    <w:rsid w:val="00641787"/>
    <w:rsid w:val="0064338B"/>
    <w:rsid w:val="00643A30"/>
    <w:rsid w:val="00643B01"/>
    <w:rsid w:val="006460DF"/>
    <w:rsid w:val="00646542"/>
    <w:rsid w:val="006504F4"/>
    <w:rsid w:val="00653423"/>
    <w:rsid w:val="00654302"/>
    <w:rsid w:val="00654BC9"/>
    <w:rsid w:val="006552FD"/>
    <w:rsid w:val="006600F5"/>
    <w:rsid w:val="00661123"/>
    <w:rsid w:val="00663AF3"/>
    <w:rsid w:val="006651DB"/>
    <w:rsid w:val="00665D5B"/>
    <w:rsid w:val="00666B6C"/>
    <w:rsid w:val="00670F83"/>
    <w:rsid w:val="006766E8"/>
    <w:rsid w:val="00682682"/>
    <w:rsid w:val="00682702"/>
    <w:rsid w:val="0068731D"/>
    <w:rsid w:val="00690F6B"/>
    <w:rsid w:val="00692368"/>
    <w:rsid w:val="00695872"/>
    <w:rsid w:val="006A2EBC"/>
    <w:rsid w:val="006A5EA0"/>
    <w:rsid w:val="006A766D"/>
    <w:rsid w:val="006A783B"/>
    <w:rsid w:val="006A7B33"/>
    <w:rsid w:val="006B06FC"/>
    <w:rsid w:val="006B3945"/>
    <w:rsid w:val="006B4E13"/>
    <w:rsid w:val="006B75DD"/>
    <w:rsid w:val="006C3D8D"/>
    <w:rsid w:val="006C3E69"/>
    <w:rsid w:val="006C67E0"/>
    <w:rsid w:val="006C7ABA"/>
    <w:rsid w:val="006D0D60"/>
    <w:rsid w:val="006D1122"/>
    <w:rsid w:val="006D1681"/>
    <w:rsid w:val="006D3C00"/>
    <w:rsid w:val="006E1DB8"/>
    <w:rsid w:val="006E3675"/>
    <w:rsid w:val="006E3909"/>
    <w:rsid w:val="006E4A7F"/>
    <w:rsid w:val="006E514B"/>
    <w:rsid w:val="006F0E76"/>
    <w:rsid w:val="006F79D1"/>
    <w:rsid w:val="007049F9"/>
    <w:rsid w:val="00704DF6"/>
    <w:rsid w:val="0070651C"/>
    <w:rsid w:val="0070669E"/>
    <w:rsid w:val="007132A3"/>
    <w:rsid w:val="00716421"/>
    <w:rsid w:val="0072267A"/>
    <w:rsid w:val="00722A6D"/>
    <w:rsid w:val="00723A69"/>
    <w:rsid w:val="00724EFB"/>
    <w:rsid w:val="007318AF"/>
    <w:rsid w:val="007336A4"/>
    <w:rsid w:val="00735E3C"/>
    <w:rsid w:val="00737209"/>
    <w:rsid w:val="007419C3"/>
    <w:rsid w:val="007467A7"/>
    <w:rsid w:val="007469DD"/>
    <w:rsid w:val="0074741B"/>
    <w:rsid w:val="0074759E"/>
    <w:rsid w:val="007478EA"/>
    <w:rsid w:val="00751176"/>
    <w:rsid w:val="0075415C"/>
    <w:rsid w:val="007555AE"/>
    <w:rsid w:val="007557F9"/>
    <w:rsid w:val="007574CB"/>
    <w:rsid w:val="007605A5"/>
    <w:rsid w:val="007624A6"/>
    <w:rsid w:val="00763502"/>
    <w:rsid w:val="007657A7"/>
    <w:rsid w:val="00777B87"/>
    <w:rsid w:val="00780EB3"/>
    <w:rsid w:val="007831A7"/>
    <w:rsid w:val="00783362"/>
    <w:rsid w:val="007913AB"/>
    <w:rsid w:val="007914F7"/>
    <w:rsid w:val="00792F5C"/>
    <w:rsid w:val="0079428E"/>
    <w:rsid w:val="007946B2"/>
    <w:rsid w:val="007950A6"/>
    <w:rsid w:val="0079514C"/>
    <w:rsid w:val="007B0B61"/>
    <w:rsid w:val="007B0B89"/>
    <w:rsid w:val="007B1625"/>
    <w:rsid w:val="007B236F"/>
    <w:rsid w:val="007B5C6A"/>
    <w:rsid w:val="007B706E"/>
    <w:rsid w:val="007B71EB"/>
    <w:rsid w:val="007C14C6"/>
    <w:rsid w:val="007C5186"/>
    <w:rsid w:val="007C5304"/>
    <w:rsid w:val="007C53D4"/>
    <w:rsid w:val="007C6205"/>
    <w:rsid w:val="007C686A"/>
    <w:rsid w:val="007C728E"/>
    <w:rsid w:val="007D2C53"/>
    <w:rsid w:val="007D3D60"/>
    <w:rsid w:val="007D4594"/>
    <w:rsid w:val="007E1980"/>
    <w:rsid w:val="007E3E4B"/>
    <w:rsid w:val="007E4B76"/>
    <w:rsid w:val="007E5998"/>
    <w:rsid w:val="007E5EA8"/>
    <w:rsid w:val="007F0CF1"/>
    <w:rsid w:val="007F12A5"/>
    <w:rsid w:val="007F2DA5"/>
    <w:rsid w:val="007F3333"/>
    <w:rsid w:val="007F42EB"/>
    <w:rsid w:val="007F4C4F"/>
    <w:rsid w:val="007F4CF1"/>
    <w:rsid w:val="007F61A5"/>
    <w:rsid w:val="007F758D"/>
    <w:rsid w:val="007F7D52"/>
    <w:rsid w:val="008020BA"/>
    <w:rsid w:val="0080654C"/>
    <w:rsid w:val="00806BE2"/>
    <w:rsid w:val="008071C6"/>
    <w:rsid w:val="00811506"/>
    <w:rsid w:val="00814E19"/>
    <w:rsid w:val="008168E3"/>
    <w:rsid w:val="00817A00"/>
    <w:rsid w:val="008204E8"/>
    <w:rsid w:val="00821545"/>
    <w:rsid w:val="00822075"/>
    <w:rsid w:val="0082512C"/>
    <w:rsid w:val="008259F9"/>
    <w:rsid w:val="00835DB3"/>
    <w:rsid w:val="0083617B"/>
    <w:rsid w:val="008371BD"/>
    <w:rsid w:val="0083767E"/>
    <w:rsid w:val="00840257"/>
    <w:rsid w:val="008405AD"/>
    <w:rsid w:val="00840B61"/>
    <w:rsid w:val="008427A3"/>
    <w:rsid w:val="00847566"/>
    <w:rsid w:val="008504A8"/>
    <w:rsid w:val="00850F51"/>
    <w:rsid w:val="0085282E"/>
    <w:rsid w:val="00857896"/>
    <w:rsid w:val="00861580"/>
    <w:rsid w:val="0087198C"/>
    <w:rsid w:val="00872C1F"/>
    <w:rsid w:val="0087373A"/>
    <w:rsid w:val="00873B42"/>
    <w:rsid w:val="008750A4"/>
    <w:rsid w:val="00882F7D"/>
    <w:rsid w:val="00884F76"/>
    <w:rsid w:val="008856D8"/>
    <w:rsid w:val="00887FE6"/>
    <w:rsid w:val="00890DD0"/>
    <w:rsid w:val="00892E82"/>
    <w:rsid w:val="0089545A"/>
    <w:rsid w:val="00895DB7"/>
    <w:rsid w:val="00896E6C"/>
    <w:rsid w:val="008A2143"/>
    <w:rsid w:val="008A218B"/>
    <w:rsid w:val="008A2641"/>
    <w:rsid w:val="008A559E"/>
    <w:rsid w:val="008A5A33"/>
    <w:rsid w:val="008A6EB6"/>
    <w:rsid w:val="008C1B58"/>
    <w:rsid w:val="008C2449"/>
    <w:rsid w:val="008C39AE"/>
    <w:rsid w:val="008C590D"/>
    <w:rsid w:val="008D0F63"/>
    <w:rsid w:val="008D4BC4"/>
    <w:rsid w:val="008D715F"/>
    <w:rsid w:val="008E031B"/>
    <w:rsid w:val="008E1ACC"/>
    <w:rsid w:val="008E1BFA"/>
    <w:rsid w:val="008E3FAD"/>
    <w:rsid w:val="008E7029"/>
    <w:rsid w:val="008E74F2"/>
    <w:rsid w:val="008E7EF6"/>
    <w:rsid w:val="008F1F98"/>
    <w:rsid w:val="008F6758"/>
    <w:rsid w:val="009040DD"/>
    <w:rsid w:val="00905B47"/>
    <w:rsid w:val="00906819"/>
    <w:rsid w:val="00911FBF"/>
    <w:rsid w:val="00911FF5"/>
    <w:rsid w:val="0091331C"/>
    <w:rsid w:val="00913530"/>
    <w:rsid w:val="00926BE7"/>
    <w:rsid w:val="009279DE"/>
    <w:rsid w:val="00930116"/>
    <w:rsid w:val="0093034D"/>
    <w:rsid w:val="00931DDF"/>
    <w:rsid w:val="009345A4"/>
    <w:rsid w:val="009347EC"/>
    <w:rsid w:val="00936C7D"/>
    <w:rsid w:val="00936DD3"/>
    <w:rsid w:val="00940825"/>
    <w:rsid w:val="0094212C"/>
    <w:rsid w:val="0094370B"/>
    <w:rsid w:val="00945FCF"/>
    <w:rsid w:val="00947577"/>
    <w:rsid w:val="00953A42"/>
    <w:rsid w:val="00953F02"/>
    <w:rsid w:val="00954689"/>
    <w:rsid w:val="009617C9"/>
    <w:rsid w:val="00961C93"/>
    <w:rsid w:val="00963420"/>
    <w:rsid w:val="00965324"/>
    <w:rsid w:val="0096609F"/>
    <w:rsid w:val="0097091E"/>
    <w:rsid w:val="00971410"/>
    <w:rsid w:val="0097495F"/>
    <w:rsid w:val="00974CAC"/>
    <w:rsid w:val="00974CF5"/>
    <w:rsid w:val="009760D3"/>
    <w:rsid w:val="00977132"/>
    <w:rsid w:val="00981A4B"/>
    <w:rsid w:val="00982501"/>
    <w:rsid w:val="00985CCA"/>
    <w:rsid w:val="009875DB"/>
    <w:rsid w:val="009877D3"/>
    <w:rsid w:val="00993498"/>
    <w:rsid w:val="00994E8F"/>
    <w:rsid w:val="009951DC"/>
    <w:rsid w:val="009959BB"/>
    <w:rsid w:val="00997158"/>
    <w:rsid w:val="009A1366"/>
    <w:rsid w:val="009A3A7C"/>
    <w:rsid w:val="009A61C4"/>
    <w:rsid w:val="009B22CD"/>
    <w:rsid w:val="009B2ADB"/>
    <w:rsid w:val="009B603A"/>
    <w:rsid w:val="009B77F1"/>
    <w:rsid w:val="009C02E0"/>
    <w:rsid w:val="009C0591"/>
    <w:rsid w:val="009C20EE"/>
    <w:rsid w:val="009C2B9B"/>
    <w:rsid w:val="009C2D0E"/>
    <w:rsid w:val="009C3DAC"/>
    <w:rsid w:val="009C42E0"/>
    <w:rsid w:val="009C60C0"/>
    <w:rsid w:val="009D3383"/>
    <w:rsid w:val="009D5362"/>
    <w:rsid w:val="009D60E7"/>
    <w:rsid w:val="009E1415"/>
    <w:rsid w:val="009E1BA8"/>
    <w:rsid w:val="009E42BA"/>
    <w:rsid w:val="009E6116"/>
    <w:rsid w:val="009E7A64"/>
    <w:rsid w:val="009F12F3"/>
    <w:rsid w:val="009F3251"/>
    <w:rsid w:val="009F5759"/>
    <w:rsid w:val="00A02E43"/>
    <w:rsid w:val="00A065F9"/>
    <w:rsid w:val="00A06E76"/>
    <w:rsid w:val="00A07F34"/>
    <w:rsid w:val="00A11B30"/>
    <w:rsid w:val="00A1233E"/>
    <w:rsid w:val="00A138A5"/>
    <w:rsid w:val="00A16BB5"/>
    <w:rsid w:val="00A16F87"/>
    <w:rsid w:val="00A22154"/>
    <w:rsid w:val="00A2217C"/>
    <w:rsid w:val="00A25C38"/>
    <w:rsid w:val="00A31996"/>
    <w:rsid w:val="00A33A4B"/>
    <w:rsid w:val="00A340B0"/>
    <w:rsid w:val="00A34A40"/>
    <w:rsid w:val="00A34BB7"/>
    <w:rsid w:val="00A36BBE"/>
    <w:rsid w:val="00A4035E"/>
    <w:rsid w:val="00A4307A"/>
    <w:rsid w:val="00A47EBB"/>
    <w:rsid w:val="00A50FA4"/>
    <w:rsid w:val="00A51CDD"/>
    <w:rsid w:val="00A617C7"/>
    <w:rsid w:val="00A63B21"/>
    <w:rsid w:val="00A6730D"/>
    <w:rsid w:val="00A708B1"/>
    <w:rsid w:val="00A71625"/>
    <w:rsid w:val="00A71B9B"/>
    <w:rsid w:val="00A71F67"/>
    <w:rsid w:val="00A74FE1"/>
    <w:rsid w:val="00A750BB"/>
    <w:rsid w:val="00A751C7"/>
    <w:rsid w:val="00A842AF"/>
    <w:rsid w:val="00A87844"/>
    <w:rsid w:val="00A959D0"/>
    <w:rsid w:val="00AA038C"/>
    <w:rsid w:val="00AA2332"/>
    <w:rsid w:val="00AA3BCB"/>
    <w:rsid w:val="00AA671C"/>
    <w:rsid w:val="00AA7A09"/>
    <w:rsid w:val="00AB0BE7"/>
    <w:rsid w:val="00AB18D2"/>
    <w:rsid w:val="00AB3B50"/>
    <w:rsid w:val="00AB3F91"/>
    <w:rsid w:val="00AC05B1"/>
    <w:rsid w:val="00AC3745"/>
    <w:rsid w:val="00AC3FCD"/>
    <w:rsid w:val="00AC612B"/>
    <w:rsid w:val="00AC698E"/>
    <w:rsid w:val="00AD023D"/>
    <w:rsid w:val="00AD1D7F"/>
    <w:rsid w:val="00AD356C"/>
    <w:rsid w:val="00AE2914"/>
    <w:rsid w:val="00AE6A43"/>
    <w:rsid w:val="00AE6D15"/>
    <w:rsid w:val="00AF2E66"/>
    <w:rsid w:val="00AF6063"/>
    <w:rsid w:val="00B0012A"/>
    <w:rsid w:val="00B04182"/>
    <w:rsid w:val="00B0757C"/>
    <w:rsid w:val="00B07AE3"/>
    <w:rsid w:val="00B11430"/>
    <w:rsid w:val="00B12D38"/>
    <w:rsid w:val="00B15653"/>
    <w:rsid w:val="00B15BB3"/>
    <w:rsid w:val="00B1655E"/>
    <w:rsid w:val="00B20245"/>
    <w:rsid w:val="00B20598"/>
    <w:rsid w:val="00B215A3"/>
    <w:rsid w:val="00B22822"/>
    <w:rsid w:val="00B23682"/>
    <w:rsid w:val="00B257F2"/>
    <w:rsid w:val="00B25E90"/>
    <w:rsid w:val="00B261EF"/>
    <w:rsid w:val="00B302F4"/>
    <w:rsid w:val="00B31DF1"/>
    <w:rsid w:val="00B353EB"/>
    <w:rsid w:val="00B43872"/>
    <w:rsid w:val="00B439C4"/>
    <w:rsid w:val="00B43B7A"/>
    <w:rsid w:val="00B4535E"/>
    <w:rsid w:val="00B51AB7"/>
    <w:rsid w:val="00B524BD"/>
    <w:rsid w:val="00B52A8C"/>
    <w:rsid w:val="00B57BD0"/>
    <w:rsid w:val="00B636A8"/>
    <w:rsid w:val="00B6504B"/>
    <w:rsid w:val="00B665C6"/>
    <w:rsid w:val="00B66654"/>
    <w:rsid w:val="00B73CF7"/>
    <w:rsid w:val="00B805AF"/>
    <w:rsid w:val="00B80B1C"/>
    <w:rsid w:val="00B810BB"/>
    <w:rsid w:val="00B81BD1"/>
    <w:rsid w:val="00B83A31"/>
    <w:rsid w:val="00B83F78"/>
    <w:rsid w:val="00B86539"/>
    <w:rsid w:val="00B869EC"/>
    <w:rsid w:val="00B87DB4"/>
    <w:rsid w:val="00B87E43"/>
    <w:rsid w:val="00B9397A"/>
    <w:rsid w:val="00B9633D"/>
    <w:rsid w:val="00B97082"/>
    <w:rsid w:val="00BA1AE4"/>
    <w:rsid w:val="00BA2BD7"/>
    <w:rsid w:val="00BA2EBE"/>
    <w:rsid w:val="00BA6367"/>
    <w:rsid w:val="00BB0F28"/>
    <w:rsid w:val="00BB2B3D"/>
    <w:rsid w:val="00BB458A"/>
    <w:rsid w:val="00BB4AE8"/>
    <w:rsid w:val="00BB621E"/>
    <w:rsid w:val="00BB7C08"/>
    <w:rsid w:val="00BC256F"/>
    <w:rsid w:val="00BD00D3"/>
    <w:rsid w:val="00BD094C"/>
    <w:rsid w:val="00BD144B"/>
    <w:rsid w:val="00BD1659"/>
    <w:rsid w:val="00BD3AA9"/>
    <w:rsid w:val="00BD4A18"/>
    <w:rsid w:val="00BD6DB2"/>
    <w:rsid w:val="00BE11CF"/>
    <w:rsid w:val="00BE21AB"/>
    <w:rsid w:val="00BE55CB"/>
    <w:rsid w:val="00BF0807"/>
    <w:rsid w:val="00BF1780"/>
    <w:rsid w:val="00BF203B"/>
    <w:rsid w:val="00BF4025"/>
    <w:rsid w:val="00BF617A"/>
    <w:rsid w:val="00C0379D"/>
    <w:rsid w:val="00C03821"/>
    <w:rsid w:val="00C03931"/>
    <w:rsid w:val="00C05FE3"/>
    <w:rsid w:val="00C07008"/>
    <w:rsid w:val="00C148AA"/>
    <w:rsid w:val="00C16158"/>
    <w:rsid w:val="00C16311"/>
    <w:rsid w:val="00C16CA2"/>
    <w:rsid w:val="00C2136D"/>
    <w:rsid w:val="00C214EE"/>
    <w:rsid w:val="00C2314B"/>
    <w:rsid w:val="00C23F1A"/>
    <w:rsid w:val="00C24971"/>
    <w:rsid w:val="00C26BE5"/>
    <w:rsid w:val="00C26E4D"/>
    <w:rsid w:val="00C27909"/>
    <w:rsid w:val="00C27B03"/>
    <w:rsid w:val="00C3054C"/>
    <w:rsid w:val="00C314E1"/>
    <w:rsid w:val="00C32A18"/>
    <w:rsid w:val="00C34325"/>
    <w:rsid w:val="00C34397"/>
    <w:rsid w:val="00C37865"/>
    <w:rsid w:val="00C4095D"/>
    <w:rsid w:val="00C42064"/>
    <w:rsid w:val="00C42630"/>
    <w:rsid w:val="00C56878"/>
    <w:rsid w:val="00C601D2"/>
    <w:rsid w:val="00C618AA"/>
    <w:rsid w:val="00C641CF"/>
    <w:rsid w:val="00C64E85"/>
    <w:rsid w:val="00C65BCC"/>
    <w:rsid w:val="00C66970"/>
    <w:rsid w:val="00C6744A"/>
    <w:rsid w:val="00C809B0"/>
    <w:rsid w:val="00C83FF2"/>
    <w:rsid w:val="00C84F38"/>
    <w:rsid w:val="00C8691C"/>
    <w:rsid w:val="00C86C0E"/>
    <w:rsid w:val="00C87858"/>
    <w:rsid w:val="00C933D9"/>
    <w:rsid w:val="00CA168A"/>
    <w:rsid w:val="00CA357E"/>
    <w:rsid w:val="00CA44F9"/>
    <w:rsid w:val="00CA4A69"/>
    <w:rsid w:val="00CB2815"/>
    <w:rsid w:val="00CC2180"/>
    <w:rsid w:val="00CC2F37"/>
    <w:rsid w:val="00CC3E0C"/>
    <w:rsid w:val="00CC4372"/>
    <w:rsid w:val="00CC58D3"/>
    <w:rsid w:val="00CC784D"/>
    <w:rsid w:val="00CD09CC"/>
    <w:rsid w:val="00CD1AF8"/>
    <w:rsid w:val="00CD33D7"/>
    <w:rsid w:val="00CE2985"/>
    <w:rsid w:val="00CE60AA"/>
    <w:rsid w:val="00CE7B33"/>
    <w:rsid w:val="00CF3443"/>
    <w:rsid w:val="00CF669C"/>
    <w:rsid w:val="00D0337B"/>
    <w:rsid w:val="00D0340C"/>
    <w:rsid w:val="00D039BA"/>
    <w:rsid w:val="00D0441D"/>
    <w:rsid w:val="00D079B2"/>
    <w:rsid w:val="00D114E9"/>
    <w:rsid w:val="00D123E7"/>
    <w:rsid w:val="00D1682E"/>
    <w:rsid w:val="00D20919"/>
    <w:rsid w:val="00D20CA3"/>
    <w:rsid w:val="00D25596"/>
    <w:rsid w:val="00D25B84"/>
    <w:rsid w:val="00D26938"/>
    <w:rsid w:val="00D274FD"/>
    <w:rsid w:val="00D334B3"/>
    <w:rsid w:val="00D360A8"/>
    <w:rsid w:val="00D429C6"/>
    <w:rsid w:val="00D45551"/>
    <w:rsid w:val="00D47748"/>
    <w:rsid w:val="00D546FE"/>
    <w:rsid w:val="00D54CC3"/>
    <w:rsid w:val="00D56C52"/>
    <w:rsid w:val="00D57DE5"/>
    <w:rsid w:val="00D6041A"/>
    <w:rsid w:val="00D60BB7"/>
    <w:rsid w:val="00D623F8"/>
    <w:rsid w:val="00D631FC"/>
    <w:rsid w:val="00D633EB"/>
    <w:rsid w:val="00D63581"/>
    <w:rsid w:val="00D64F1F"/>
    <w:rsid w:val="00D65076"/>
    <w:rsid w:val="00D71404"/>
    <w:rsid w:val="00D73A9F"/>
    <w:rsid w:val="00D75D67"/>
    <w:rsid w:val="00D760DF"/>
    <w:rsid w:val="00D81361"/>
    <w:rsid w:val="00D82470"/>
    <w:rsid w:val="00D826B3"/>
    <w:rsid w:val="00D82FF7"/>
    <w:rsid w:val="00D83570"/>
    <w:rsid w:val="00D8382E"/>
    <w:rsid w:val="00D847FE"/>
    <w:rsid w:val="00D92046"/>
    <w:rsid w:val="00D95C4D"/>
    <w:rsid w:val="00D964EA"/>
    <w:rsid w:val="00D966D0"/>
    <w:rsid w:val="00DA0C59"/>
    <w:rsid w:val="00DA1F56"/>
    <w:rsid w:val="00DA3991"/>
    <w:rsid w:val="00DA6FB8"/>
    <w:rsid w:val="00DB0514"/>
    <w:rsid w:val="00DB11E3"/>
    <w:rsid w:val="00DB6AF5"/>
    <w:rsid w:val="00DB71B2"/>
    <w:rsid w:val="00DB7611"/>
    <w:rsid w:val="00DB7E6C"/>
    <w:rsid w:val="00DC1795"/>
    <w:rsid w:val="00DC23EF"/>
    <w:rsid w:val="00DC6AD5"/>
    <w:rsid w:val="00DD5A29"/>
    <w:rsid w:val="00DD5D9D"/>
    <w:rsid w:val="00DE35CB"/>
    <w:rsid w:val="00DE66D8"/>
    <w:rsid w:val="00DF21E9"/>
    <w:rsid w:val="00DF319A"/>
    <w:rsid w:val="00DF3C11"/>
    <w:rsid w:val="00DF42E2"/>
    <w:rsid w:val="00DF7467"/>
    <w:rsid w:val="00E00F14"/>
    <w:rsid w:val="00E06386"/>
    <w:rsid w:val="00E070DB"/>
    <w:rsid w:val="00E16E71"/>
    <w:rsid w:val="00E17DA2"/>
    <w:rsid w:val="00E24EB4"/>
    <w:rsid w:val="00E25043"/>
    <w:rsid w:val="00E2778C"/>
    <w:rsid w:val="00E320ED"/>
    <w:rsid w:val="00E3298A"/>
    <w:rsid w:val="00E33AFB"/>
    <w:rsid w:val="00E34218"/>
    <w:rsid w:val="00E34E5D"/>
    <w:rsid w:val="00E37BF8"/>
    <w:rsid w:val="00E448F6"/>
    <w:rsid w:val="00E45170"/>
    <w:rsid w:val="00E45E31"/>
    <w:rsid w:val="00E46282"/>
    <w:rsid w:val="00E51173"/>
    <w:rsid w:val="00E5216E"/>
    <w:rsid w:val="00E559BD"/>
    <w:rsid w:val="00E55CBD"/>
    <w:rsid w:val="00E57099"/>
    <w:rsid w:val="00E752E0"/>
    <w:rsid w:val="00E77BF6"/>
    <w:rsid w:val="00E81841"/>
    <w:rsid w:val="00E81953"/>
    <w:rsid w:val="00E82344"/>
    <w:rsid w:val="00E84C82"/>
    <w:rsid w:val="00E84D64"/>
    <w:rsid w:val="00E87408"/>
    <w:rsid w:val="00E9052F"/>
    <w:rsid w:val="00E914C4"/>
    <w:rsid w:val="00E934F5"/>
    <w:rsid w:val="00E96961"/>
    <w:rsid w:val="00E96E7B"/>
    <w:rsid w:val="00EA1B3D"/>
    <w:rsid w:val="00EA3101"/>
    <w:rsid w:val="00EA67FB"/>
    <w:rsid w:val="00EA72EC"/>
    <w:rsid w:val="00EB0A72"/>
    <w:rsid w:val="00EB11CB"/>
    <w:rsid w:val="00EB1E8F"/>
    <w:rsid w:val="00EB275A"/>
    <w:rsid w:val="00EB4C12"/>
    <w:rsid w:val="00EB5704"/>
    <w:rsid w:val="00EB59D3"/>
    <w:rsid w:val="00EB786A"/>
    <w:rsid w:val="00EC1342"/>
    <w:rsid w:val="00EC1578"/>
    <w:rsid w:val="00EC1C72"/>
    <w:rsid w:val="00EC3CC9"/>
    <w:rsid w:val="00EC5B04"/>
    <w:rsid w:val="00EC5BF3"/>
    <w:rsid w:val="00EC680A"/>
    <w:rsid w:val="00ED16DB"/>
    <w:rsid w:val="00ED2417"/>
    <w:rsid w:val="00ED743C"/>
    <w:rsid w:val="00EE2BED"/>
    <w:rsid w:val="00EE374B"/>
    <w:rsid w:val="00EE5DC3"/>
    <w:rsid w:val="00EF6C00"/>
    <w:rsid w:val="00F003B6"/>
    <w:rsid w:val="00F0096C"/>
    <w:rsid w:val="00F06691"/>
    <w:rsid w:val="00F11BB5"/>
    <w:rsid w:val="00F1417B"/>
    <w:rsid w:val="00F16596"/>
    <w:rsid w:val="00F176FC"/>
    <w:rsid w:val="00F22D20"/>
    <w:rsid w:val="00F23696"/>
    <w:rsid w:val="00F23698"/>
    <w:rsid w:val="00F27936"/>
    <w:rsid w:val="00F333C0"/>
    <w:rsid w:val="00F34B99"/>
    <w:rsid w:val="00F35113"/>
    <w:rsid w:val="00F43F9D"/>
    <w:rsid w:val="00F52DAB"/>
    <w:rsid w:val="00F543F0"/>
    <w:rsid w:val="00F64FE8"/>
    <w:rsid w:val="00F67147"/>
    <w:rsid w:val="00F71110"/>
    <w:rsid w:val="00F731A8"/>
    <w:rsid w:val="00F80D88"/>
    <w:rsid w:val="00F81D29"/>
    <w:rsid w:val="00F8385B"/>
    <w:rsid w:val="00F83FC6"/>
    <w:rsid w:val="00F86102"/>
    <w:rsid w:val="00F876CD"/>
    <w:rsid w:val="00F91C4D"/>
    <w:rsid w:val="00F92FD9"/>
    <w:rsid w:val="00F94929"/>
    <w:rsid w:val="00F95E74"/>
    <w:rsid w:val="00FA00BB"/>
    <w:rsid w:val="00FA3835"/>
    <w:rsid w:val="00FA4F98"/>
    <w:rsid w:val="00FA6684"/>
    <w:rsid w:val="00FA731E"/>
    <w:rsid w:val="00FA7824"/>
    <w:rsid w:val="00FB2B38"/>
    <w:rsid w:val="00FC6358"/>
    <w:rsid w:val="00FD320D"/>
    <w:rsid w:val="00FE02A8"/>
    <w:rsid w:val="00FE23DE"/>
    <w:rsid w:val="00FE4157"/>
    <w:rsid w:val="00FF0B5B"/>
    <w:rsid w:val="00FF1BD1"/>
    <w:rsid w:val="043B2D94"/>
    <w:rsid w:val="05BE4F56"/>
    <w:rsid w:val="0FAE635B"/>
    <w:rsid w:val="1CE94C7E"/>
    <w:rsid w:val="1E017D01"/>
    <w:rsid w:val="208C6F6B"/>
    <w:rsid w:val="2102490A"/>
    <w:rsid w:val="312143D9"/>
    <w:rsid w:val="32580113"/>
    <w:rsid w:val="3E015F98"/>
    <w:rsid w:val="3F4779E8"/>
    <w:rsid w:val="3F55760A"/>
    <w:rsid w:val="478072F1"/>
    <w:rsid w:val="49375FAE"/>
    <w:rsid w:val="4941303B"/>
    <w:rsid w:val="4BDF1B57"/>
    <w:rsid w:val="4BFC2EFF"/>
    <w:rsid w:val="4C6965EB"/>
    <w:rsid w:val="5560200F"/>
    <w:rsid w:val="77241DF0"/>
    <w:rsid w:val="77C06859"/>
    <w:rsid w:val="7D541F5B"/>
    <w:rsid w:val="7E6C0EF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1"/>
    <w:qFormat/>
    <w:uiPriority w:val="0"/>
    <w:pPr>
      <w:keepNext/>
      <w:keepLines/>
      <w:autoSpaceDN w:val="0"/>
      <w:adjustRightInd w:val="0"/>
      <w:snapToGrid w:val="0"/>
      <w:jc w:val="center"/>
      <w:outlineLvl w:val="0"/>
    </w:pPr>
    <w:rPr>
      <w:rFonts w:eastAsia="楷体_GB2312"/>
      <w:b/>
      <w:bCs/>
      <w:kern w:val="44"/>
      <w:sz w:val="36"/>
      <w:szCs w:val="36"/>
    </w:rPr>
  </w:style>
  <w:style w:type="paragraph" w:styleId="3">
    <w:name w:val="heading 2"/>
    <w:basedOn w:val="1"/>
    <w:next w:val="1"/>
    <w:link w:val="146"/>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47"/>
    <w:semiHidden/>
    <w:unhideWhenUsed/>
    <w:qFormat/>
    <w:uiPriority w:val="0"/>
    <w:pPr>
      <w:keepNext/>
      <w:keepLines/>
      <w:spacing w:before="260" w:after="260" w:line="416" w:lineRule="auto"/>
      <w:outlineLvl w:val="2"/>
    </w:pPr>
    <w:rPr>
      <w:b/>
      <w:bCs/>
      <w:sz w:val="32"/>
      <w:szCs w:val="32"/>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semiHidden/>
    <w:qFormat/>
    <w:uiPriority w:val="0"/>
    <w:pPr>
      <w:tabs>
        <w:tab w:val="right" w:leader="dot" w:pos="9241"/>
      </w:tabs>
      <w:ind w:firstLine="505" w:firstLineChars="500"/>
      <w:jc w:val="left"/>
    </w:pPr>
    <w:rPr>
      <w:rFonts w:ascii="宋体"/>
      <w:szCs w:val="21"/>
    </w:rPr>
  </w:style>
  <w:style w:type="paragraph" w:styleId="6">
    <w:name w:val="index 8"/>
    <w:basedOn w:val="1"/>
    <w:next w:val="1"/>
    <w:qFormat/>
    <w:uiPriority w:val="0"/>
    <w:pPr>
      <w:ind w:left="1680" w:hanging="210"/>
      <w:jc w:val="left"/>
    </w:pPr>
    <w:rPr>
      <w:rFonts w:ascii="Calibri" w:hAnsi="Calibri"/>
      <w:sz w:val="20"/>
      <w:szCs w:val="20"/>
    </w:rPr>
  </w:style>
  <w:style w:type="paragraph" w:styleId="7">
    <w:name w:val="Normal Indent"/>
    <w:basedOn w:val="1"/>
    <w:qFormat/>
    <w:uiPriority w:val="0"/>
    <w:pPr>
      <w:adjustRightInd w:val="0"/>
      <w:spacing w:line="420" w:lineRule="atLeast"/>
      <w:ind w:firstLine="420"/>
      <w:textAlignment w:val="baseline"/>
    </w:pPr>
    <w:rPr>
      <w:rFonts w:ascii="仿宋体" w:eastAsia="仿宋体"/>
      <w:kern w:val="0"/>
      <w:sz w:val="28"/>
      <w:szCs w:val="20"/>
    </w:rPr>
  </w:style>
  <w:style w:type="paragraph" w:styleId="8">
    <w:name w:val="caption"/>
    <w:basedOn w:val="1"/>
    <w:next w:val="1"/>
    <w:qFormat/>
    <w:uiPriority w:val="0"/>
    <w:pPr>
      <w:spacing w:before="152" w:after="160"/>
    </w:pPr>
    <w:rPr>
      <w:rFonts w:ascii="Arial" w:hAnsi="Arial" w:eastAsia="黑体" w:cs="Arial"/>
      <w:sz w:val="20"/>
      <w:szCs w:val="20"/>
    </w:rPr>
  </w:style>
  <w:style w:type="paragraph" w:styleId="9">
    <w:name w:val="index 5"/>
    <w:basedOn w:val="1"/>
    <w:next w:val="1"/>
    <w:qFormat/>
    <w:uiPriority w:val="0"/>
    <w:pPr>
      <w:ind w:left="1050" w:hanging="210"/>
      <w:jc w:val="left"/>
    </w:pPr>
    <w:rPr>
      <w:rFonts w:ascii="Calibri" w:hAnsi="Calibri"/>
      <w:sz w:val="20"/>
      <w:szCs w:val="20"/>
    </w:rPr>
  </w:style>
  <w:style w:type="paragraph" w:styleId="10">
    <w:name w:val="Document Map"/>
    <w:basedOn w:val="1"/>
    <w:semiHidden/>
    <w:qFormat/>
    <w:uiPriority w:val="0"/>
    <w:pPr>
      <w:shd w:val="clear" w:color="auto" w:fill="000080"/>
    </w:pPr>
  </w:style>
  <w:style w:type="paragraph" w:styleId="11">
    <w:name w:val="annotation text"/>
    <w:basedOn w:val="1"/>
    <w:link w:val="144"/>
    <w:qFormat/>
    <w:uiPriority w:val="0"/>
    <w:pPr>
      <w:jc w:val="left"/>
    </w:pPr>
  </w:style>
  <w:style w:type="paragraph" w:styleId="12">
    <w:name w:val="index 6"/>
    <w:basedOn w:val="1"/>
    <w:next w:val="1"/>
    <w:qFormat/>
    <w:uiPriority w:val="0"/>
    <w:pPr>
      <w:ind w:left="1260" w:hanging="210"/>
      <w:jc w:val="left"/>
    </w:pPr>
    <w:rPr>
      <w:rFonts w:ascii="Calibri" w:hAnsi="Calibri"/>
      <w:sz w:val="20"/>
      <w:szCs w:val="20"/>
    </w:rPr>
  </w:style>
  <w:style w:type="paragraph" w:styleId="13">
    <w:name w:val="index 4"/>
    <w:basedOn w:val="1"/>
    <w:next w:val="1"/>
    <w:qFormat/>
    <w:uiPriority w:val="0"/>
    <w:pPr>
      <w:ind w:left="840" w:hanging="210"/>
      <w:jc w:val="left"/>
    </w:pPr>
    <w:rPr>
      <w:rFonts w:ascii="Calibri" w:hAnsi="Calibri"/>
      <w:sz w:val="20"/>
      <w:szCs w:val="20"/>
    </w:rPr>
  </w:style>
  <w:style w:type="paragraph" w:styleId="14">
    <w:name w:val="toc 5"/>
    <w:basedOn w:val="1"/>
    <w:next w:val="1"/>
    <w:semiHidden/>
    <w:qFormat/>
    <w:uiPriority w:val="0"/>
    <w:pPr>
      <w:tabs>
        <w:tab w:val="right" w:leader="dot" w:pos="9241"/>
      </w:tabs>
      <w:ind w:firstLine="300" w:firstLineChars="300"/>
      <w:jc w:val="left"/>
    </w:pPr>
    <w:rPr>
      <w:rFonts w:ascii="宋体"/>
      <w:szCs w:val="21"/>
    </w:rPr>
  </w:style>
  <w:style w:type="paragraph" w:styleId="15">
    <w:name w:val="toc 3"/>
    <w:basedOn w:val="1"/>
    <w:next w:val="1"/>
    <w:qFormat/>
    <w:uiPriority w:val="39"/>
    <w:pPr>
      <w:tabs>
        <w:tab w:val="right" w:leader="dot" w:pos="9241"/>
      </w:tabs>
      <w:ind w:firstLine="102" w:firstLineChars="100"/>
      <w:jc w:val="left"/>
    </w:pPr>
    <w:rPr>
      <w:rFonts w:ascii="宋体"/>
      <w:szCs w:val="21"/>
    </w:rPr>
  </w:style>
  <w:style w:type="paragraph" w:styleId="16">
    <w:name w:val="toc 8"/>
    <w:basedOn w:val="1"/>
    <w:next w:val="1"/>
    <w:semiHidden/>
    <w:qFormat/>
    <w:uiPriority w:val="0"/>
    <w:pPr>
      <w:tabs>
        <w:tab w:val="right" w:leader="dot" w:pos="9241"/>
      </w:tabs>
      <w:ind w:firstLine="607" w:firstLineChars="600"/>
      <w:jc w:val="left"/>
    </w:pPr>
    <w:rPr>
      <w:rFonts w:ascii="宋体"/>
      <w:szCs w:val="21"/>
    </w:rPr>
  </w:style>
  <w:style w:type="paragraph" w:styleId="17">
    <w:name w:val="index 3"/>
    <w:basedOn w:val="1"/>
    <w:next w:val="1"/>
    <w:qFormat/>
    <w:uiPriority w:val="0"/>
    <w:pPr>
      <w:ind w:left="630" w:hanging="210"/>
      <w:jc w:val="left"/>
    </w:pPr>
    <w:rPr>
      <w:rFonts w:ascii="Calibri" w:hAnsi="Calibri"/>
      <w:sz w:val="20"/>
      <w:szCs w:val="20"/>
    </w:rPr>
  </w:style>
  <w:style w:type="paragraph" w:styleId="18">
    <w:name w:val="endnote text"/>
    <w:basedOn w:val="1"/>
    <w:semiHidden/>
    <w:qFormat/>
    <w:uiPriority w:val="0"/>
    <w:pPr>
      <w:snapToGrid w:val="0"/>
      <w:jc w:val="left"/>
    </w:pPr>
  </w:style>
  <w:style w:type="paragraph" w:styleId="19">
    <w:name w:val="Balloon Text"/>
    <w:basedOn w:val="1"/>
    <w:link w:val="143"/>
    <w:semiHidden/>
    <w:unhideWhenUsed/>
    <w:qFormat/>
    <w:uiPriority w:val="0"/>
    <w:rPr>
      <w:rFonts w:ascii="宋体"/>
      <w:sz w:val="18"/>
      <w:szCs w:val="18"/>
    </w:rPr>
  </w:style>
  <w:style w:type="paragraph" w:styleId="20">
    <w:name w:val="footer"/>
    <w:basedOn w:val="1"/>
    <w:qFormat/>
    <w:uiPriority w:val="0"/>
    <w:pPr>
      <w:snapToGrid w:val="0"/>
      <w:ind w:right="210" w:rightChars="100"/>
      <w:jc w:val="right"/>
    </w:pPr>
    <w:rPr>
      <w:sz w:val="18"/>
      <w:szCs w:val="18"/>
    </w:rPr>
  </w:style>
  <w:style w:type="paragraph" w:styleId="21">
    <w:name w:val="header"/>
    <w:basedOn w:val="1"/>
    <w:qFormat/>
    <w:uiPriority w:val="0"/>
    <w:pPr>
      <w:snapToGrid w:val="0"/>
      <w:jc w:val="left"/>
    </w:pPr>
    <w:rPr>
      <w:sz w:val="18"/>
      <w:szCs w:val="18"/>
    </w:rPr>
  </w:style>
  <w:style w:type="paragraph" w:styleId="22">
    <w:name w:val="toc 1"/>
    <w:basedOn w:val="1"/>
    <w:next w:val="1"/>
    <w:qFormat/>
    <w:uiPriority w:val="39"/>
    <w:pPr>
      <w:tabs>
        <w:tab w:val="right" w:leader="dot" w:pos="9241"/>
      </w:tabs>
      <w:spacing w:beforeLines="25" w:afterLines="25"/>
      <w:jc w:val="left"/>
    </w:pPr>
    <w:rPr>
      <w:rFonts w:ascii="宋体"/>
      <w:szCs w:val="21"/>
    </w:rPr>
  </w:style>
  <w:style w:type="paragraph" w:styleId="23">
    <w:name w:val="toc 4"/>
    <w:basedOn w:val="1"/>
    <w:next w:val="1"/>
    <w:semiHidden/>
    <w:qFormat/>
    <w:uiPriority w:val="0"/>
    <w:pPr>
      <w:tabs>
        <w:tab w:val="right" w:leader="dot" w:pos="9241"/>
      </w:tabs>
      <w:ind w:firstLine="198" w:firstLineChars="200"/>
      <w:jc w:val="left"/>
    </w:pPr>
    <w:rPr>
      <w:rFonts w:ascii="宋体"/>
      <w:szCs w:val="21"/>
    </w:rPr>
  </w:style>
  <w:style w:type="paragraph" w:styleId="24">
    <w:name w:val="index heading"/>
    <w:basedOn w:val="1"/>
    <w:next w:val="25"/>
    <w:qFormat/>
    <w:uiPriority w:val="0"/>
    <w:pPr>
      <w:spacing w:before="120" w:after="120"/>
      <w:jc w:val="center"/>
    </w:pPr>
    <w:rPr>
      <w:rFonts w:ascii="Calibri" w:hAnsi="Calibri"/>
      <w:b/>
      <w:bCs/>
      <w:iCs/>
      <w:szCs w:val="20"/>
    </w:rPr>
  </w:style>
  <w:style w:type="paragraph" w:styleId="25">
    <w:name w:val="index 1"/>
    <w:basedOn w:val="1"/>
    <w:next w:val="26"/>
    <w:qFormat/>
    <w:uiPriority w:val="0"/>
    <w:pPr>
      <w:tabs>
        <w:tab w:val="right" w:leader="dot" w:pos="9299"/>
      </w:tabs>
      <w:jc w:val="left"/>
    </w:pPr>
    <w:rPr>
      <w:rFonts w:ascii="宋体"/>
      <w:szCs w:val="21"/>
    </w:rPr>
  </w:style>
  <w:style w:type="paragraph" w:customStyle="1" w:styleId="26">
    <w:name w:val="段"/>
    <w:link w:val="4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7">
    <w:name w:val="footnote text"/>
    <w:basedOn w:val="1"/>
    <w:qFormat/>
    <w:uiPriority w:val="0"/>
    <w:pPr>
      <w:numPr>
        <w:ilvl w:val="0"/>
        <w:numId w:val="1"/>
      </w:numPr>
      <w:snapToGrid w:val="0"/>
      <w:jc w:val="left"/>
    </w:pPr>
    <w:rPr>
      <w:rFonts w:ascii="宋体"/>
      <w:sz w:val="18"/>
      <w:szCs w:val="18"/>
    </w:rPr>
  </w:style>
  <w:style w:type="paragraph" w:styleId="28">
    <w:name w:val="toc 6"/>
    <w:basedOn w:val="1"/>
    <w:next w:val="1"/>
    <w:semiHidden/>
    <w:qFormat/>
    <w:uiPriority w:val="0"/>
    <w:pPr>
      <w:tabs>
        <w:tab w:val="right" w:leader="dot" w:pos="9241"/>
      </w:tabs>
      <w:ind w:firstLine="403" w:firstLineChars="400"/>
      <w:jc w:val="left"/>
    </w:pPr>
    <w:rPr>
      <w:rFonts w:ascii="宋体"/>
      <w:szCs w:val="21"/>
    </w:rPr>
  </w:style>
  <w:style w:type="paragraph" w:styleId="29">
    <w:name w:val="index 7"/>
    <w:basedOn w:val="1"/>
    <w:next w:val="1"/>
    <w:qFormat/>
    <w:uiPriority w:val="0"/>
    <w:pPr>
      <w:ind w:left="1470" w:hanging="210"/>
      <w:jc w:val="left"/>
    </w:pPr>
    <w:rPr>
      <w:rFonts w:ascii="Calibri" w:hAnsi="Calibri"/>
      <w:sz w:val="20"/>
      <w:szCs w:val="20"/>
    </w:rPr>
  </w:style>
  <w:style w:type="paragraph" w:styleId="30">
    <w:name w:val="index 9"/>
    <w:basedOn w:val="1"/>
    <w:next w:val="1"/>
    <w:qFormat/>
    <w:uiPriority w:val="0"/>
    <w:pPr>
      <w:ind w:left="1890" w:hanging="210"/>
      <w:jc w:val="left"/>
    </w:pPr>
    <w:rPr>
      <w:rFonts w:ascii="Calibri" w:hAnsi="Calibri"/>
      <w:sz w:val="20"/>
      <w:szCs w:val="20"/>
    </w:rPr>
  </w:style>
  <w:style w:type="paragraph" w:styleId="31">
    <w:name w:val="toc 2"/>
    <w:basedOn w:val="1"/>
    <w:next w:val="1"/>
    <w:qFormat/>
    <w:uiPriority w:val="39"/>
    <w:pPr>
      <w:tabs>
        <w:tab w:val="right" w:leader="dot" w:pos="9241"/>
      </w:tabs>
    </w:pPr>
    <w:rPr>
      <w:rFonts w:ascii="宋体"/>
      <w:szCs w:val="21"/>
    </w:rPr>
  </w:style>
  <w:style w:type="paragraph" w:styleId="32">
    <w:name w:val="toc 9"/>
    <w:basedOn w:val="1"/>
    <w:next w:val="1"/>
    <w:semiHidden/>
    <w:qFormat/>
    <w:uiPriority w:val="0"/>
    <w:pPr>
      <w:ind w:left="1470"/>
      <w:jc w:val="left"/>
    </w:pPr>
    <w:rPr>
      <w:sz w:val="20"/>
      <w:szCs w:val="20"/>
    </w:rPr>
  </w:style>
  <w:style w:type="paragraph" w:styleId="33">
    <w:name w:val="index 2"/>
    <w:basedOn w:val="1"/>
    <w:next w:val="1"/>
    <w:qFormat/>
    <w:uiPriority w:val="0"/>
    <w:pPr>
      <w:ind w:left="420" w:hanging="210"/>
      <w:jc w:val="left"/>
    </w:pPr>
    <w:rPr>
      <w:rFonts w:ascii="Calibri" w:hAnsi="Calibri"/>
      <w:sz w:val="20"/>
      <w:szCs w:val="20"/>
    </w:rPr>
  </w:style>
  <w:style w:type="paragraph" w:styleId="34">
    <w:name w:val="annotation subject"/>
    <w:basedOn w:val="11"/>
    <w:next w:val="11"/>
    <w:link w:val="149"/>
    <w:semiHidden/>
    <w:unhideWhenUsed/>
    <w:qFormat/>
    <w:uiPriority w:val="0"/>
    <w:pPr>
      <w:jc w:val="both"/>
    </w:pPr>
    <w:rPr>
      <w:b/>
      <w:bCs/>
      <w:sz w:val="20"/>
      <w:szCs w:val="20"/>
    </w:rPr>
  </w:style>
  <w:style w:type="table" w:styleId="36">
    <w:name w:val="Table Grid"/>
    <w:basedOn w:val="35"/>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8">
    <w:name w:val="endnote reference"/>
    <w:basedOn w:val="37"/>
    <w:semiHidden/>
    <w:qFormat/>
    <w:uiPriority w:val="0"/>
    <w:rPr>
      <w:vertAlign w:val="superscript"/>
    </w:rPr>
  </w:style>
  <w:style w:type="character" w:styleId="39">
    <w:name w:val="page number"/>
    <w:basedOn w:val="37"/>
    <w:qFormat/>
    <w:uiPriority w:val="0"/>
    <w:rPr>
      <w:rFonts w:ascii="Times New Roman" w:hAnsi="Times New Roman" w:eastAsia="宋体"/>
      <w:sz w:val="18"/>
    </w:rPr>
  </w:style>
  <w:style w:type="character" w:styleId="40">
    <w:name w:val="Hyperlink"/>
    <w:basedOn w:val="37"/>
    <w:qFormat/>
    <w:uiPriority w:val="99"/>
    <w:rPr>
      <w:color w:val="0000FF"/>
      <w:spacing w:val="0"/>
      <w:w w:val="100"/>
      <w:szCs w:val="21"/>
      <w:u w:val="single"/>
    </w:rPr>
  </w:style>
  <w:style w:type="character" w:styleId="41">
    <w:name w:val="annotation reference"/>
    <w:basedOn w:val="37"/>
    <w:qFormat/>
    <w:uiPriority w:val="0"/>
    <w:rPr>
      <w:sz w:val="21"/>
      <w:szCs w:val="21"/>
    </w:rPr>
  </w:style>
  <w:style w:type="character" w:styleId="42">
    <w:name w:val="footnote reference"/>
    <w:basedOn w:val="37"/>
    <w:semiHidden/>
    <w:qFormat/>
    <w:uiPriority w:val="0"/>
    <w:rPr>
      <w:vertAlign w:val="superscript"/>
    </w:rPr>
  </w:style>
  <w:style w:type="character" w:customStyle="1" w:styleId="43">
    <w:name w:val="段 Char"/>
    <w:basedOn w:val="37"/>
    <w:link w:val="26"/>
    <w:qFormat/>
    <w:uiPriority w:val="0"/>
    <w:rPr>
      <w:rFonts w:ascii="宋体"/>
      <w:sz w:val="21"/>
      <w:lang w:val="en-US" w:eastAsia="zh-CN" w:bidi="ar-SA"/>
    </w:rPr>
  </w:style>
  <w:style w:type="paragraph" w:customStyle="1" w:styleId="44">
    <w:name w:val="一级条标题"/>
    <w:next w:val="26"/>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45">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6">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7">
    <w:name w:val="章标题"/>
    <w:next w:val="26"/>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8">
    <w:name w:val="二级条标题"/>
    <w:basedOn w:val="44"/>
    <w:next w:val="26"/>
    <w:qFormat/>
    <w:uiPriority w:val="0"/>
    <w:pPr>
      <w:numPr>
        <w:ilvl w:val="2"/>
      </w:numPr>
      <w:spacing w:before="50" w:after="50"/>
      <w:outlineLvl w:val="3"/>
    </w:pPr>
  </w:style>
  <w:style w:type="paragraph" w:customStyle="1" w:styleId="49">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0">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1">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2">
    <w:name w:val="目次、标准名称标题"/>
    <w:basedOn w:val="1"/>
    <w:next w:val="26"/>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3">
    <w:name w:val="三级条标题"/>
    <w:basedOn w:val="48"/>
    <w:next w:val="26"/>
    <w:qFormat/>
    <w:uiPriority w:val="0"/>
    <w:pPr>
      <w:numPr>
        <w:ilvl w:val="3"/>
      </w:numPr>
      <w:outlineLvl w:val="4"/>
    </w:pPr>
  </w:style>
  <w:style w:type="paragraph" w:customStyle="1" w:styleId="54">
    <w:name w:val="示例"/>
    <w:next w:val="55"/>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5">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6">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7">
    <w:name w:val="四级条标题"/>
    <w:basedOn w:val="53"/>
    <w:next w:val="26"/>
    <w:qFormat/>
    <w:uiPriority w:val="0"/>
    <w:pPr>
      <w:numPr>
        <w:ilvl w:val="4"/>
      </w:numPr>
      <w:outlineLvl w:val="5"/>
    </w:pPr>
  </w:style>
  <w:style w:type="paragraph" w:customStyle="1" w:styleId="58">
    <w:name w:val="五级条标题"/>
    <w:basedOn w:val="57"/>
    <w:next w:val="26"/>
    <w:qFormat/>
    <w:uiPriority w:val="0"/>
    <w:pPr>
      <w:numPr>
        <w:ilvl w:val="5"/>
      </w:numPr>
      <w:outlineLvl w:val="6"/>
    </w:pPr>
  </w:style>
  <w:style w:type="paragraph" w:customStyle="1" w:styleId="59">
    <w:name w:val="注："/>
    <w:next w:val="26"/>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60">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61">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2">
    <w:name w:val="列项◆（三级）"/>
    <w:basedOn w:val="1"/>
    <w:qFormat/>
    <w:uiPriority w:val="0"/>
    <w:pPr>
      <w:numPr>
        <w:ilvl w:val="2"/>
        <w:numId w:val="3"/>
      </w:numPr>
    </w:pPr>
    <w:rPr>
      <w:rFonts w:ascii="宋体"/>
      <w:szCs w:val="21"/>
    </w:rPr>
  </w:style>
  <w:style w:type="paragraph" w:customStyle="1" w:styleId="63">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64">
    <w:name w:val="示例×："/>
    <w:basedOn w:val="47"/>
    <w:qFormat/>
    <w:uiPriority w:val="0"/>
    <w:pPr>
      <w:numPr>
        <w:numId w:val="8"/>
      </w:numPr>
      <w:spacing w:beforeLines="0" w:afterLines="0"/>
      <w:outlineLvl w:val="9"/>
    </w:pPr>
    <w:rPr>
      <w:rFonts w:ascii="宋体" w:eastAsia="宋体"/>
      <w:sz w:val="18"/>
      <w:szCs w:val="18"/>
    </w:rPr>
  </w:style>
  <w:style w:type="paragraph" w:customStyle="1" w:styleId="65">
    <w:name w:val="二级无"/>
    <w:basedOn w:val="48"/>
    <w:qFormat/>
    <w:uiPriority w:val="0"/>
    <w:pPr>
      <w:spacing w:beforeLines="0" w:afterLines="0"/>
    </w:pPr>
    <w:rPr>
      <w:rFonts w:ascii="宋体" w:eastAsia="宋体"/>
    </w:rPr>
  </w:style>
  <w:style w:type="paragraph" w:customStyle="1" w:styleId="66">
    <w:name w:val="注：（正文）"/>
    <w:basedOn w:val="59"/>
    <w:next w:val="26"/>
    <w:qFormat/>
    <w:uiPriority w:val="0"/>
  </w:style>
  <w:style w:type="paragraph" w:customStyle="1" w:styleId="67">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68">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9">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0">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1">
    <w:name w:val="标准书眉_偶数页"/>
    <w:basedOn w:val="46"/>
    <w:next w:val="1"/>
    <w:qFormat/>
    <w:uiPriority w:val="0"/>
    <w:pPr>
      <w:jc w:val="left"/>
    </w:pPr>
  </w:style>
  <w:style w:type="paragraph" w:customStyle="1" w:styleId="72">
    <w:name w:val="标准书眉一"/>
    <w:qFormat/>
    <w:uiPriority w:val="0"/>
    <w:pPr>
      <w:jc w:val="both"/>
    </w:pPr>
    <w:rPr>
      <w:rFonts w:ascii="Times New Roman" w:hAnsi="Times New Roman" w:eastAsia="宋体" w:cs="Times New Roman"/>
      <w:lang w:val="en-US" w:eastAsia="zh-CN" w:bidi="ar-SA"/>
    </w:rPr>
  </w:style>
  <w:style w:type="paragraph" w:customStyle="1" w:styleId="73">
    <w:name w:val="参考文献"/>
    <w:basedOn w:val="1"/>
    <w:next w:val="2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4">
    <w:name w:val="参考文献、索引标题"/>
    <w:basedOn w:val="1"/>
    <w:next w:val="26"/>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5">
    <w:name w:val="发布"/>
    <w:basedOn w:val="37"/>
    <w:qFormat/>
    <w:uiPriority w:val="0"/>
    <w:rPr>
      <w:rFonts w:ascii="黑体" w:eastAsia="黑体"/>
      <w:spacing w:val="85"/>
      <w:w w:val="100"/>
      <w:position w:val="3"/>
      <w:sz w:val="28"/>
      <w:szCs w:val="28"/>
    </w:rPr>
  </w:style>
  <w:style w:type="paragraph" w:customStyle="1" w:styleId="76">
    <w:name w:val="发布部门"/>
    <w:next w:val="26"/>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7">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8">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1">
    <w:name w:val="封面标准英文名称"/>
    <w:basedOn w:val="80"/>
    <w:qFormat/>
    <w:uiPriority w:val="0"/>
    <w:pPr>
      <w:framePr w:wrap="around"/>
      <w:spacing w:before="370" w:line="400" w:lineRule="exact"/>
    </w:pPr>
    <w:rPr>
      <w:rFonts w:ascii="Times New Roman"/>
      <w:sz w:val="28"/>
      <w:szCs w:val="28"/>
    </w:rPr>
  </w:style>
  <w:style w:type="paragraph" w:customStyle="1" w:styleId="82">
    <w:name w:val="封面一致性程度标识"/>
    <w:basedOn w:val="81"/>
    <w:qFormat/>
    <w:uiPriority w:val="0"/>
    <w:pPr>
      <w:framePr w:wrap="around"/>
      <w:spacing w:before="440"/>
    </w:pPr>
    <w:rPr>
      <w:rFonts w:ascii="宋体" w:eastAsia="宋体"/>
    </w:rPr>
  </w:style>
  <w:style w:type="paragraph" w:customStyle="1" w:styleId="83">
    <w:name w:val="封面标准文稿类别"/>
    <w:basedOn w:val="82"/>
    <w:qFormat/>
    <w:uiPriority w:val="0"/>
    <w:pPr>
      <w:framePr w:wrap="around"/>
      <w:spacing w:after="160" w:line="240" w:lineRule="auto"/>
    </w:pPr>
    <w:rPr>
      <w:sz w:val="24"/>
    </w:rPr>
  </w:style>
  <w:style w:type="paragraph" w:customStyle="1" w:styleId="84">
    <w:name w:val="封面标准文稿编辑信息"/>
    <w:basedOn w:val="83"/>
    <w:qFormat/>
    <w:uiPriority w:val="0"/>
    <w:pPr>
      <w:framePr w:wrap="around"/>
      <w:spacing w:before="180" w:line="180" w:lineRule="exact"/>
    </w:pPr>
    <w:rPr>
      <w:sz w:val="21"/>
    </w:rPr>
  </w:style>
  <w:style w:type="paragraph" w:customStyle="1" w:styleId="85">
    <w:name w:val="封面正文"/>
    <w:qFormat/>
    <w:uiPriority w:val="0"/>
    <w:pPr>
      <w:jc w:val="both"/>
    </w:pPr>
    <w:rPr>
      <w:rFonts w:ascii="Times New Roman" w:hAnsi="Times New Roman" w:eastAsia="宋体" w:cs="Times New Roman"/>
      <w:lang w:val="en-US" w:eastAsia="zh-CN" w:bidi="ar-SA"/>
    </w:rPr>
  </w:style>
  <w:style w:type="paragraph" w:customStyle="1" w:styleId="86">
    <w:name w:val="附录标识"/>
    <w:basedOn w:val="1"/>
    <w:next w:val="26"/>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7">
    <w:name w:val="附录标题"/>
    <w:basedOn w:val="26"/>
    <w:next w:val="26"/>
    <w:qFormat/>
    <w:uiPriority w:val="0"/>
    <w:pPr>
      <w:ind w:firstLine="0" w:firstLineChars="0"/>
      <w:jc w:val="center"/>
    </w:pPr>
    <w:rPr>
      <w:rFonts w:ascii="黑体" w:eastAsia="黑体"/>
    </w:rPr>
  </w:style>
  <w:style w:type="paragraph" w:customStyle="1" w:styleId="88">
    <w:name w:val="附录表标号"/>
    <w:basedOn w:val="1"/>
    <w:next w:val="26"/>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89">
    <w:name w:val="附录表标题"/>
    <w:basedOn w:val="1"/>
    <w:next w:val="26"/>
    <w:qFormat/>
    <w:uiPriority w:val="0"/>
    <w:pPr>
      <w:numPr>
        <w:ilvl w:val="1"/>
        <w:numId w:val="11"/>
      </w:numPr>
      <w:tabs>
        <w:tab w:val="left" w:pos="180"/>
      </w:tabs>
      <w:spacing w:beforeLines="50" w:afterLines="50"/>
      <w:ind w:left="0" w:firstLine="0"/>
      <w:jc w:val="center"/>
    </w:pPr>
    <w:rPr>
      <w:rFonts w:ascii="黑体" w:eastAsia="黑体"/>
      <w:szCs w:val="21"/>
    </w:rPr>
  </w:style>
  <w:style w:type="paragraph" w:customStyle="1" w:styleId="90">
    <w:name w:val="附录二级条标题"/>
    <w:basedOn w:val="1"/>
    <w:next w:val="26"/>
    <w:qFormat/>
    <w:uiPriority w:val="0"/>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91">
    <w:name w:val="附录二级无"/>
    <w:basedOn w:val="90"/>
    <w:qFormat/>
    <w:uiPriority w:val="0"/>
    <w:pPr>
      <w:tabs>
        <w:tab w:val="clear" w:pos="360"/>
      </w:tabs>
      <w:spacing w:beforeLines="0" w:afterLines="0"/>
    </w:pPr>
    <w:rPr>
      <w:rFonts w:ascii="宋体" w:eastAsia="宋体"/>
      <w:szCs w:val="21"/>
    </w:rPr>
  </w:style>
  <w:style w:type="paragraph" w:customStyle="1" w:styleId="92">
    <w:name w:val="附录公式"/>
    <w:basedOn w:val="26"/>
    <w:next w:val="26"/>
    <w:link w:val="93"/>
    <w:qFormat/>
    <w:uiPriority w:val="0"/>
  </w:style>
  <w:style w:type="character" w:customStyle="1" w:styleId="93">
    <w:name w:val="附录公式 Char"/>
    <w:basedOn w:val="43"/>
    <w:link w:val="92"/>
    <w:qFormat/>
    <w:uiPriority w:val="0"/>
    <w:rPr>
      <w:rFonts w:ascii="宋体"/>
      <w:sz w:val="21"/>
      <w:lang w:val="en-US" w:eastAsia="zh-CN" w:bidi="ar-SA"/>
    </w:rPr>
  </w:style>
  <w:style w:type="paragraph" w:customStyle="1" w:styleId="94">
    <w:name w:val="附录公式编号制表符"/>
    <w:basedOn w:val="1"/>
    <w:next w:val="26"/>
    <w:qFormat/>
    <w:uiPriority w:val="0"/>
    <w:pPr>
      <w:widowControl/>
      <w:tabs>
        <w:tab w:val="center" w:pos="4201"/>
        <w:tab w:val="right" w:leader="dot" w:pos="9298"/>
      </w:tabs>
      <w:autoSpaceDE w:val="0"/>
      <w:autoSpaceDN w:val="0"/>
    </w:pPr>
    <w:rPr>
      <w:rFonts w:ascii="宋体"/>
      <w:kern w:val="0"/>
      <w:szCs w:val="20"/>
    </w:rPr>
  </w:style>
  <w:style w:type="paragraph" w:customStyle="1" w:styleId="95">
    <w:name w:val="附录三级条标题"/>
    <w:basedOn w:val="90"/>
    <w:next w:val="26"/>
    <w:qFormat/>
    <w:uiPriority w:val="0"/>
    <w:pPr>
      <w:numPr>
        <w:ilvl w:val="4"/>
      </w:numPr>
      <w:outlineLvl w:val="4"/>
    </w:pPr>
  </w:style>
  <w:style w:type="paragraph" w:customStyle="1" w:styleId="96">
    <w:name w:val="附录三级无"/>
    <w:basedOn w:val="95"/>
    <w:qFormat/>
    <w:uiPriority w:val="0"/>
    <w:pPr>
      <w:tabs>
        <w:tab w:val="clear" w:pos="360"/>
      </w:tabs>
      <w:spacing w:beforeLines="0" w:afterLines="0"/>
    </w:pPr>
    <w:rPr>
      <w:rFonts w:ascii="宋体" w:eastAsia="宋体"/>
      <w:szCs w:val="21"/>
    </w:rPr>
  </w:style>
  <w:style w:type="paragraph" w:customStyle="1" w:styleId="97">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98">
    <w:name w:val="附录四级条标题"/>
    <w:basedOn w:val="95"/>
    <w:next w:val="26"/>
    <w:qFormat/>
    <w:uiPriority w:val="0"/>
    <w:pPr>
      <w:numPr>
        <w:ilvl w:val="5"/>
      </w:numPr>
      <w:outlineLvl w:val="5"/>
    </w:pPr>
  </w:style>
  <w:style w:type="paragraph" w:customStyle="1" w:styleId="99">
    <w:name w:val="附录四级无"/>
    <w:basedOn w:val="98"/>
    <w:qFormat/>
    <w:uiPriority w:val="0"/>
    <w:pPr>
      <w:tabs>
        <w:tab w:val="clear" w:pos="360"/>
      </w:tabs>
      <w:spacing w:beforeLines="0" w:afterLines="0"/>
    </w:pPr>
    <w:rPr>
      <w:rFonts w:ascii="宋体" w:eastAsia="宋体"/>
      <w:szCs w:val="21"/>
    </w:rPr>
  </w:style>
  <w:style w:type="paragraph" w:customStyle="1" w:styleId="100">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101">
    <w:name w:val="附录图标题"/>
    <w:basedOn w:val="1"/>
    <w:next w:val="26"/>
    <w:qFormat/>
    <w:uiPriority w:val="0"/>
    <w:pPr>
      <w:numPr>
        <w:ilvl w:val="1"/>
        <w:numId w:val="13"/>
      </w:numPr>
      <w:tabs>
        <w:tab w:val="left" w:pos="363"/>
      </w:tabs>
      <w:spacing w:beforeLines="50" w:afterLines="50"/>
      <w:ind w:left="0" w:firstLine="0"/>
      <w:jc w:val="center"/>
    </w:pPr>
    <w:rPr>
      <w:rFonts w:ascii="黑体" w:eastAsia="黑体"/>
      <w:szCs w:val="21"/>
    </w:rPr>
  </w:style>
  <w:style w:type="paragraph" w:customStyle="1" w:styleId="102">
    <w:name w:val="附录五级条标题"/>
    <w:basedOn w:val="98"/>
    <w:next w:val="26"/>
    <w:qFormat/>
    <w:uiPriority w:val="0"/>
    <w:pPr>
      <w:numPr>
        <w:ilvl w:val="6"/>
      </w:numPr>
      <w:outlineLvl w:val="6"/>
    </w:pPr>
  </w:style>
  <w:style w:type="paragraph" w:customStyle="1" w:styleId="103">
    <w:name w:val="附录五级无"/>
    <w:basedOn w:val="102"/>
    <w:qFormat/>
    <w:uiPriority w:val="0"/>
    <w:pPr>
      <w:tabs>
        <w:tab w:val="clear" w:pos="360"/>
      </w:tabs>
      <w:spacing w:beforeLines="0" w:afterLines="0"/>
    </w:pPr>
    <w:rPr>
      <w:rFonts w:ascii="宋体" w:eastAsia="宋体"/>
      <w:szCs w:val="21"/>
    </w:rPr>
  </w:style>
  <w:style w:type="paragraph" w:customStyle="1" w:styleId="104">
    <w:name w:val="附录章标题"/>
    <w:next w:val="26"/>
    <w:qFormat/>
    <w:uiPriority w:val="0"/>
    <w:pPr>
      <w:numPr>
        <w:ilvl w:val="1"/>
        <w:numId w:val="10"/>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5">
    <w:name w:val="附录一级条标题"/>
    <w:basedOn w:val="104"/>
    <w:next w:val="26"/>
    <w:qFormat/>
    <w:uiPriority w:val="0"/>
    <w:pPr>
      <w:numPr>
        <w:ilvl w:val="2"/>
      </w:numPr>
      <w:autoSpaceDN w:val="0"/>
      <w:spacing w:beforeLines="50" w:afterLines="50"/>
      <w:outlineLvl w:val="2"/>
    </w:pPr>
  </w:style>
  <w:style w:type="paragraph" w:customStyle="1" w:styleId="106">
    <w:name w:val="附录一级无"/>
    <w:basedOn w:val="105"/>
    <w:qFormat/>
    <w:uiPriority w:val="0"/>
    <w:pPr>
      <w:tabs>
        <w:tab w:val="clear" w:pos="360"/>
      </w:tabs>
      <w:spacing w:beforeLines="0" w:afterLines="0"/>
    </w:pPr>
    <w:rPr>
      <w:rFonts w:ascii="宋体" w:eastAsia="宋体"/>
      <w:szCs w:val="21"/>
    </w:rPr>
  </w:style>
  <w:style w:type="paragraph" w:customStyle="1" w:styleId="107">
    <w:name w:val="附录字母编号列项（一级）"/>
    <w:qFormat/>
    <w:uiPriority w:val="0"/>
    <w:pPr>
      <w:numPr>
        <w:ilvl w:val="0"/>
        <w:numId w:val="12"/>
      </w:numPr>
    </w:pPr>
    <w:rPr>
      <w:rFonts w:ascii="宋体" w:hAnsi="Times New Roman" w:eastAsia="宋体" w:cs="Times New Roman"/>
      <w:sz w:val="21"/>
      <w:lang w:val="en-US" w:eastAsia="zh-CN" w:bidi="ar-SA"/>
    </w:rPr>
  </w:style>
  <w:style w:type="paragraph" w:customStyle="1" w:styleId="108">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9">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0">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1">
    <w:name w:val="其他标准标志"/>
    <w:basedOn w:val="68"/>
    <w:qFormat/>
    <w:uiPriority w:val="0"/>
    <w:pPr>
      <w:framePr w:w="6101" w:wrap="around" w:vAnchor="page" w:hAnchor="page" w:x="4673" w:y="942"/>
    </w:pPr>
    <w:rPr>
      <w:w w:val="130"/>
    </w:rPr>
  </w:style>
  <w:style w:type="paragraph" w:customStyle="1" w:styleId="112">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3">
    <w:name w:val="其他发布部门"/>
    <w:basedOn w:val="76"/>
    <w:qFormat/>
    <w:uiPriority w:val="0"/>
    <w:pPr>
      <w:framePr w:wrap="around" w:y="15310"/>
      <w:spacing w:line="0" w:lineRule="atLeast"/>
    </w:pPr>
    <w:rPr>
      <w:rFonts w:ascii="黑体" w:eastAsia="黑体"/>
      <w:b w:val="0"/>
    </w:rPr>
  </w:style>
  <w:style w:type="paragraph" w:customStyle="1" w:styleId="114">
    <w:name w:val="前言、引言标题"/>
    <w:next w:val="26"/>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5">
    <w:name w:val="三级无"/>
    <w:basedOn w:val="53"/>
    <w:qFormat/>
    <w:uiPriority w:val="0"/>
    <w:pPr>
      <w:spacing w:beforeLines="0" w:afterLines="0"/>
    </w:pPr>
    <w:rPr>
      <w:rFonts w:ascii="宋体" w:eastAsia="宋体"/>
    </w:rPr>
  </w:style>
  <w:style w:type="paragraph" w:customStyle="1" w:styleId="116">
    <w:name w:val="实施日期"/>
    <w:basedOn w:val="77"/>
    <w:qFormat/>
    <w:uiPriority w:val="0"/>
    <w:pPr>
      <w:framePr w:wrap="around" w:vAnchor="page" w:hAnchor="text"/>
      <w:jc w:val="right"/>
    </w:pPr>
  </w:style>
  <w:style w:type="paragraph" w:customStyle="1" w:styleId="117">
    <w:name w:val="示例后文字"/>
    <w:basedOn w:val="26"/>
    <w:next w:val="26"/>
    <w:qFormat/>
    <w:uiPriority w:val="0"/>
    <w:pPr>
      <w:ind w:firstLine="360"/>
    </w:pPr>
    <w:rPr>
      <w:sz w:val="18"/>
    </w:rPr>
  </w:style>
  <w:style w:type="paragraph" w:customStyle="1" w:styleId="118">
    <w:name w:val="首示例"/>
    <w:next w:val="26"/>
    <w:link w:val="119"/>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19">
    <w:name w:val="首示例 Char"/>
    <w:basedOn w:val="37"/>
    <w:link w:val="118"/>
    <w:qFormat/>
    <w:uiPriority w:val="0"/>
    <w:rPr>
      <w:rFonts w:ascii="宋体" w:hAnsi="宋体"/>
      <w:kern w:val="2"/>
      <w:sz w:val="18"/>
      <w:szCs w:val="18"/>
    </w:rPr>
  </w:style>
  <w:style w:type="paragraph" w:customStyle="1" w:styleId="120">
    <w:name w:val="四级无"/>
    <w:basedOn w:val="57"/>
    <w:qFormat/>
    <w:uiPriority w:val="0"/>
    <w:pPr>
      <w:spacing w:beforeLines="0" w:afterLines="0"/>
    </w:pPr>
    <w:rPr>
      <w:rFonts w:ascii="宋体" w:eastAsia="宋体"/>
    </w:rPr>
  </w:style>
  <w:style w:type="paragraph" w:customStyle="1" w:styleId="121">
    <w:name w:val="条文脚注"/>
    <w:basedOn w:val="27"/>
    <w:qFormat/>
    <w:uiPriority w:val="0"/>
    <w:pPr>
      <w:numPr>
        <w:numId w:val="0"/>
      </w:numPr>
      <w:jc w:val="both"/>
    </w:pPr>
  </w:style>
  <w:style w:type="paragraph" w:customStyle="1" w:styleId="122">
    <w:name w:val="图标脚注说明"/>
    <w:basedOn w:val="26"/>
    <w:qFormat/>
    <w:uiPriority w:val="0"/>
    <w:pPr>
      <w:ind w:left="840" w:hanging="420" w:firstLineChars="0"/>
    </w:pPr>
    <w:rPr>
      <w:sz w:val="18"/>
      <w:szCs w:val="18"/>
    </w:rPr>
  </w:style>
  <w:style w:type="paragraph" w:customStyle="1" w:styleId="123">
    <w:name w:val="图表脚注说明"/>
    <w:basedOn w:val="1"/>
    <w:qFormat/>
    <w:uiPriority w:val="0"/>
    <w:pPr>
      <w:numPr>
        <w:ilvl w:val="0"/>
        <w:numId w:val="15"/>
      </w:numPr>
    </w:pPr>
    <w:rPr>
      <w:rFonts w:ascii="宋体"/>
      <w:sz w:val="18"/>
      <w:szCs w:val="18"/>
    </w:rPr>
  </w:style>
  <w:style w:type="paragraph" w:customStyle="1" w:styleId="124">
    <w:name w:val="图的脚注"/>
    <w:next w:val="26"/>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5">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6">
    <w:name w:val="五级无"/>
    <w:basedOn w:val="58"/>
    <w:qFormat/>
    <w:uiPriority w:val="0"/>
    <w:pPr>
      <w:spacing w:beforeLines="0" w:afterLines="0"/>
    </w:pPr>
    <w:rPr>
      <w:rFonts w:ascii="宋体" w:eastAsia="宋体"/>
    </w:rPr>
  </w:style>
  <w:style w:type="paragraph" w:customStyle="1" w:styleId="127">
    <w:name w:val="一级无"/>
    <w:basedOn w:val="44"/>
    <w:qFormat/>
    <w:uiPriority w:val="0"/>
    <w:pPr>
      <w:spacing w:beforeLines="0" w:afterLines="0"/>
    </w:pPr>
    <w:rPr>
      <w:rFonts w:ascii="宋体" w:eastAsia="宋体"/>
    </w:rPr>
  </w:style>
  <w:style w:type="character" w:customStyle="1" w:styleId="128">
    <w:name w:val="已访问的超链接1"/>
    <w:basedOn w:val="37"/>
    <w:qFormat/>
    <w:uiPriority w:val="0"/>
    <w:rPr>
      <w:color w:val="800080"/>
      <w:u w:val="single"/>
    </w:rPr>
  </w:style>
  <w:style w:type="paragraph" w:customStyle="1" w:styleId="129">
    <w:name w:val="正文表标题"/>
    <w:next w:val="26"/>
    <w:qFormat/>
    <w:uiPriority w:val="0"/>
    <w:pPr>
      <w:numPr>
        <w:ilvl w:val="0"/>
        <w:numId w:val="16"/>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0">
    <w:name w:val="正文公式编号制表符"/>
    <w:basedOn w:val="26"/>
    <w:next w:val="26"/>
    <w:qFormat/>
    <w:uiPriority w:val="0"/>
    <w:pPr>
      <w:ind w:firstLine="0" w:firstLineChars="0"/>
    </w:pPr>
  </w:style>
  <w:style w:type="paragraph" w:customStyle="1" w:styleId="131">
    <w:name w:val="正文图标题"/>
    <w:next w:val="26"/>
    <w:qFormat/>
    <w:uiPriority w:val="0"/>
    <w:pPr>
      <w:numPr>
        <w:ilvl w:val="0"/>
        <w:numId w:val="17"/>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2">
    <w:name w:val="终结线"/>
    <w:basedOn w:val="1"/>
    <w:qFormat/>
    <w:uiPriority w:val="0"/>
    <w:pPr>
      <w:framePr w:hSpace="181" w:vSpace="181" w:wrap="around" w:vAnchor="text" w:hAnchor="margin" w:xAlign="center" w:y="285"/>
    </w:pPr>
  </w:style>
  <w:style w:type="paragraph" w:customStyle="1" w:styleId="133">
    <w:name w:val="其他发布日期"/>
    <w:basedOn w:val="77"/>
    <w:qFormat/>
    <w:uiPriority w:val="0"/>
    <w:pPr>
      <w:framePr w:wrap="around" w:vAnchor="page" w:hAnchor="text" w:x="1419"/>
    </w:pPr>
  </w:style>
  <w:style w:type="paragraph" w:customStyle="1" w:styleId="134">
    <w:name w:val="其他实施日期"/>
    <w:basedOn w:val="116"/>
    <w:qFormat/>
    <w:uiPriority w:val="0"/>
    <w:pPr>
      <w:framePr w:wrap="around"/>
    </w:pPr>
  </w:style>
  <w:style w:type="paragraph" w:customStyle="1" w:styleId="135">
    <w:name w:val="封面标准名称2"/>
    <w:basedOn w:val="80"/>
    <w:qFormat/>
    <w:uiPriority w:val="0"/>
    <w:pPr>
      <w:framePr w:wrap="around" w:y="4469"/>
      <w:spacing w:beforeLines="630"/>
    </w:pPr>
  </w:style>
  <w:style w:type="paragraph" w:customStyle="1" w:styleId="136">
    <w:name w:val="封面标准英文名称2"/>
    <w:basedOn w:val="81"/>
    <w:qFormat/>
    <w:uiPriority w:val="0"/>
    <w:pPr>
      <w:framePr w:wrap="around" w:y="4469"/>
    </w:pPr>
  </w:style>
  <w:style w:type="paragraph" w:customStyle="1" w:styleId="137">
    <w:name w:val="封面一致性程度标识2"/>
    <w:basedOn w:val="82"/>
    <w:qFormat/>
    <w:uiPriority w:val="0"/>
    <w:pPr>
      <w:framePr w:wrap="around" w:y="4469"/>
    </w:pPr>
  </w:style>
  <w:style w:type="paragraph" w:customStyle="1" w:styleId="138">
    <w:name w:val="封面标准文稿类别2"/>
    <w:basedOn w:val="83"/>
    <w:qFormat/>
    <w:uiPriority w:val="0"/>
    <w:pPr>
      <w:framePr w:wrap="around" w:y="4469"/>
    </w:pPr>
  </w:style>
  <w:style w:type="paragraph" w:customStyle="1" w:styleId="139">
    <w:name w:val="封面标准文稿编辑信息2"/>
    <w:basedOn w:val="84"/>
    <w:qFormat/>
    <w:uiPriority w:val="0"/>
    <w:pPr>
      <w:framePr w:wrap="around" w:y="4469"/>
    </w:pPr>
  </w:style>
  <w:style w:type="paragraph" w:customStyle="1" w:styleId="140">
    <w:name w:val="标准文件_段"/>
    <w:qFormat/>
    <w:uiPriority w:val="0"/>
    <w:pPr>
      <w:autoSpaceDE w:val="0"/>
      <w:autoSpaceDN w:val="0"/>
      <w:adjustRightInd w:val="0"/>
      <w:snapToGrid w:val="0"/>
      <w:spacing w:line="276" w:lineRule="auto"/>
      <w:ind w:right="-105" w:rightChars="-50"/>
      <w:jc w:val="both"/>
    </w:pPr>
    <w:rPr>
      <w:rFonts w:ascii="宋体" w:hAnsi="Times New Roman" w:eastAsia="宋体" w:cs="Times New Roman"/>
      <w:spacing w:val="2"/>
      <w:sz w:val="21"/>
      <w:lang w:val="en-US" w:eastAsia="zh-CN" w:bidi="ar-SA"/>
    </w:rPr>
  </w:style>
  <w:style w:type="character" w:customStyle="1" w:styleId="141">
    <w:name w:val="标题 1 字符"/>
    <w:basedOn w:val="37"/>
    <w:link w:val="2"/>
    <w:qFormat/>
    <w:uiPriority w:val="0"/>
    <w:rPr>
      <w:rFonts w:eastAsia="楷体_GB2312"/>
      <w:b/>
      <w:bCs/>
      <w:kern w:val="44"/>
      <w:sz w:val="36"/>
      <w:szCs w:val="36"/>
    </w:rPr>
  </w:style>
  <w:style w:type="paragraph" w:customStyle="1" w:styleId="142">
    <w:name w:val="TOC 标题1"/>
    <w:basedOn w:val="2"/>
    <w:next w:val="1"/>
    <w:unhideWhenUsed/>
    <w:qFormat/>
    <w:uiPriority w:val="39"/>
    <w:pPr>
      <w:widowControl/>
      <w:autoSpaceDN/>
      <w:adjustRightInd/>
      <w:snapToGrid/>
      <w:spacing w:before="24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 w:type="character" w:customStyle="1" w:styleId="143">
    <w:name w:val="批注框文本 字符"/>
    <w:basedOn w:val="37"/>
    <w:link w:val="19"/>
    <w:semiHidden/>
    <w:qFormat/>
    <w:uiPriority w:val="0"/>
    <w:rPr>
      <w:rFonts w:ascii="宋体"/>
      <w:kern w:val="2"/>
      <w:sz w:val="18"/>
      <w:szCs w:val="18"/>
    </w:rPr>
  </w:style>
  <w:style w:type="character" w:customStyle="1" w:styleId="144">
    <w:name w:val="批注文字 字符"/>
    <w:basedOn w:val="37"/>
    <w:link w:val="11"/>
    <w:qFormat/>
    <w:uiPriority w:val="0"/>
    <w:rPr>
      <w:kern w:val="2"/>
      <w:sz w:val="21"/>
      <w:szCs w:val="24"/>
    </w:rPr>
  </w:style>
  <w:style w:type="paragraph" w:customStyle="1" w:styleId="145">
    <w:name w:val="文件正文"/>
    <w:basedOn w:val="1"/>
    <w:qFormat/>
    <w:uiPriority w:val="0"/>
    <w:pPr>
      <w:spacing w:line="480" w:lineRule="exact"/>
      <w:ind w:firstLine="560"/>
    </w:pPr>
    <w:rPr>
      <w:rFonts w:eastAsia="仿宋_GB2312" w:cs="宋体"/>
      <w:sz w:val="28"/>
      <w:szCs w:val="20"/>
    </w:rPr>
  </w:style>
  <w:style w:type="character" w:customStyle="1" w:styleId="146">
    <w:name w:val="标题 2 字符"/>
    <w:basedOn w:val="37"/>
    <w:link w:val="3"/>
    <w:semiHidden/>
    <w:qFormat/>
    <w:uiPriority w:val="0"/>
    <w:rPr>
      <w:rFonts w:asciiTheme="majorHAnsi" w:hAnsiTheme="majorHAnsi" w:eastAsiaTheme="majorEastAsia" w:cstheme="majorBidi"/>
      <w:b/>
      <w:bCs/>
      <w:kern w:val="2"/>
      <w:sz w:val="32"/>
      <w:szCs w:val="32"/>
    </w:rPr>
  </w:style>
  <w:style w:type="character" w:customStyle="1" w:styleId="147">
    <w:name w:val="标题 3 字符"/>
    <w:basedOn w:val="37"/>
    <w:link w:val="4"/>
    <w:semiHidden/>
    <w:qFormat/>
    <w:uiPriority w:val="0"/>
    <w:rPr>
      <w:b/>
      <w:bCs/>
      <w:kern w:val="2"/>
      <w:sz w:val="32"/>
      <w:szCs w:val="32"/>
    </w:rPr>
  </w:style>
  <w:style w:type="paragraph" w:customStyle="1" w:styleId="148">
    <w:name w:val="文件大标题"/>
    <w:next w:val="1"/>
    <w:qFormat/>
    <w:uiPriority w:val="0"/>
    <w:pPr>
      <w:spacing w:before="240" w:after="120" w:line="480" w:lineRule="exact"/>
      <w:jc w:val="center"/>
    </w:pPr>
    <w:rPr>
      <w:rFonts w:ascii="Times New Roman" w:hAnsi="Times New Roman" w:eastAsia="黑体" w:cs="Times New Roman"/>
      <w:kern w:val="2"/>
      <w:sz w:val="36"/>
      <w:szCs w:val="44"/>
      <w:lang w:val="en-US" w:eastAsia="zh-CN" w:bidi="ar-SA"/>
    </w:rPr>
  </w:style>
  <w:style w:type="character" w:customStyle="1" w:styleId="149">
    <w:name w:val="批注主题 字符"/>
    <w:basedOn w:val="144"/>
    <w:link w:val="34"/>
    <w:semiHidden/>
    <w:qFormat/>
    <w:uiPriority w:val="0"/>
    <w:rPr>
      <w:b/>
      <w:bCs/>
      <w:kern w:val="2"/>
      <w:sz w:val="21"/>
      <w:szCs w:val="24"/>
    </w:rPr>
  </w:style>
  <w:style w:type="paragraph" w:styleId="150">
    <w:name w:val="List Paragraph"/>
    <w:basedOn w:val="1"/>
    <w:qFormat/>
    <w:uiPriority w:val="34"/>
    <w:pPr>
      <w:widowControl/>
      <w:autoSpaceDE w:val="0"/>
      <w:autoSpaceDN w:val="0"/>
      <w:adjustRightInd w:val="0"/>
      <w:spacing w:line="480" w:lineRule="exact"/>
      <w:ind w:firstLine="420" w:firstLineChars="200"/>
    </w:pPr>
    <w:rPr>
      <w:rFonts w:eastAsia="仿宋"/>
      <w:kern w:val="0"/>
      <w:sz w:val="28"/>
      <w:szCs w:val="28"/>
    </w:rPr>
  </w:style>
  <w:style w:type="paragraph" w:customStyle="1" w:styleId="151">
    <w:name w:val="MTDisplayEquation"/>
    <w:basedOn w:val="1"/>
    <w:next w:val="1"/>
    <w:link w:val="152"/>
    <w:qFormat/>
    <w:uiPriority w:val="0"/>
    <w:pPr>
      <w:tabs>
        <w:tab w:val="center" w:pos="4160"/>
        <w:tab w:val="right" w:pos="8300"/>
      </w:tabs>
      <w:spacing w:line="440" w:lineRule="exact"/>
      <w:jc w:val="left"/>
    </w:pPr>
  </w:style>
  <w:style w:type="character" w:customStyle="1" w:styleId="152">
    <w:name w:val="MTDisplayEquation 字符"/>
    <w:basedOn w:val="37"/>
    <w:link w:val="151"/>
    <w:qFormat/>
    <w:uiPriority w:val="0"/>
    <w:rPr>
      <w:kern w:val="2"/>
      <w:sz w:val="21"/>
      <w:szCs w:val="24"/>
    </w:rPr>
  </w:style>
  <w:style w:type="paragraph" w:customStyle="1" w:styleId="153">
    <w:name w:val="样式 二级条标题 + 段前: 0.5 行 段后: 0.5 行"/>
    <w:basedOn w:val="48"/>
    <w:qFormat/>
    <w:uiPriority w:val="0"/>
    <w:pPr>
      <w:ind w:left="0" w:firstLine="0"/>
    </w:pPr>
    <w:rPr>
      <w:rFonts w:eastAsia="宋体" w:cs="宋体"/>
      <w:szCs w:val="20"/>
    </w:rPr>
  </w:style>
  <w:style w:type="paragraph" w:customStyle="1" w:styleId="154">
    <w:name w:val="样式 样式 二级条标题 + 段前: 0.5 行 段后: 0.5 行 + 段前: 0.5 行 段后: 0.5 行"/>
    <w:basedOn w:val="153"/>
    <w:qFormat/>
    <w:uiPriority w:val="0"/>
    <w:pPr>
      <w:ind w:left="-1417" w:firstLine="1417"/>
    </w:pPr>
  </w:style>
  <w:style w:type="paragraph" w:customStyle="1" w:styleId="155">
    <w:name w:val="样式 样式 样式 二级条标题 + 段前: 0.5 行 段后: 0.5 行 + 段前: 0.5 行 段后: 0.5 行 + 段前:..."/>
    <w:basedOn w:val="154"/>
    <w:qFormat/>
    <w:uiPriority w:val="0"/>
  </w:style>
  <w:style w:type="paragraph" w:customStyle="1" w:styleId="156">
    <w:name w:val="Revision"/>
    <w:hidden/>
    <w:unhideWhenUsed/>
    <w:uiPriority w:val="99"/>
    <w:rPr>
      <w:rFonts w:ascii="Times New Roman" w:hAnsi="Times New Roman"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3080"/>
    <customShpInfo spid="_x0000_s3079"/>
    <customShpInfo spid="_x0000_s3078"/>
    <customShpInfo spid="_x0000_s3077"/>
    <customShpInfo spid="_x0000_s3074"/>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47535B-E618-4DE7-93FE-AF29504C9AA3}">
  <ds:schemaRefs/>
</ds:datastoreItem>
</file>

<file path=docProps/app.xml><?xml version="1.0" encoding="utf-8"?>
<Properties xmlns="http://schemas.openxmlformats.org/officeDocument/2006/extended-properties" xmlns:vt="http://schemas.openxmlformats.org/officeDocument/2006/docPropsVTypes">
  <Template>Normal.dotm</Template>
  <Company>zle</Company>
  <Pages>8</Pages>
  <Words>376</Words>
  <Characters>521</Characters>
  <Lines>82</Lines>
  <Paragraphs>105</Paragraphs>
  <TotalTime>25</TotalTime>
  <ScaleCrop>false</ScaleCrop>
  <LinksUpToDate>false</LinksUpToDate>
  <CharactersWithSpaces>580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2026-07-03T02:48:00Z</dcterms:created>
  <dc:creator>CNIS</dc:creator>
  <cp:lastModifiedBy>La solitudine</cp:lastModifiedBy>
  <cp:lastPrinted>2023-10-13T11:01:00Z</cp:lastPrinted>
  <dcterms:modified xsi:type="dcterms:W3CDTF">2026-07-07T07:22:56Z</dcterms:modified>
  <dc:title>标准名称</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191CF7084ED243AFAC571A93E59F2A67</vt:lpwstr>
  </property>
  <property fmtid="{D5CDD505-2E9C-101B-9397-08002B2CF9AE}" pid="4" name="KSOTemplateDocerSaveRecord">
    <vt:lpwstr>eyJoZGlkIjoiOGJjNWNjZjhhZmY1M2U4ZmMxNzZmNGNmMjQwNjFiNjIiLCJ1c2VySWQiOiI0NjE0NTI2MDMifQ==</vt:lpwstr>
  </property>
</Properties>
</file>